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252095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120"/>
        <w:spacing w:after="0"/>
        <w:rPr>
          <w:sz w:val="20"/>
          <w:szCs w:val="20"/>
          <w:color w:val="auto"/>
        </w:rPr>
      </w:pPr>
      <w:r>
        <w:rPr>
          <w:rFonts w:ascii="Arial" w:cs="Arial" w:eastAsia="Arial" w:hAnsi="Arial"/>
          <w:sz w:val="24"/>
          <w:szCs w:val="24"/>
          <w:b w:val="1"/>
          <w:bCs w:val="1"/>
          <w:color w:val="auto"/>
        </w:rPr>
        <w:t>SECURITIES AND EXCHANGE COMMISSION</w:t>
      </w:r>
    </w:p>
    <w:p>
      <w:pPr>
        <w:spacing w:after="0" w:line="1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SCHEDULE 14A</w:t>
      </w:r>
    </w:p>
    <w:p>
      <w:pPr>
        <w:spacing w:after="0" w:line="23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Exchange Act of 1934</w:t>
      </w:r>
    </w:p>
    <w:p>
      <w:pPr>
        <w:sectPr>
          <w:pgSz w:w="11900" w:h="16838" w:orient="portrait"/>
          <w:cols w:equalWidth="0" w:num="1">
            <w:col w:w="10139"/>
          </w:cols>
          <w:pgMar w:left="320" w:top="651" w:right="1440" w:bottom="1440" w:gutter="0" w:footer="0" w:header="0"/>
        </w:sectPr>
      </w:pPr>
    </w:p>
    <w:p>
      <w:pPr>
        <w:spacing w:after="0" w:line="16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676" w:lineRule="exact"/>
        <w:rPr>
          <w:sz w:val="24"/>
          <w:szCs w:val="24"/>
          <w:color w:val="auto"/>
        </w:rPr>
      </w:pPr>
    </w:p>
    <w:p>
      <w:pPr>
        <w:sectPr>
          <w:pgSz w:w="11900" w:h="16838" w:orient="portrait"/>
          <w:cols w:equalWidth="0" w:num="2">
            <w:col w:w="2540" w:space="720"/>
            <w:col w:w="6879"/>
          </w:cols>
          <w:pgMar w:left="320" w:top="651" w:right="1440" w:bottom="1440" w:gutter="0" w:footer="0" w:header="0"/>
          <w:type w:val="continuous"/>
        </w:sectPr>
      </w:pPr>
    </w:p>
    <w:p>
      <w:pPr>
        <w:spacing w:after="0" w:line="4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16"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IVERIC bio, Inc.</w:t>
      </w:r>
    </w:p>
    <w:p>
      <w:pPr>
        <w:spacing w:after="0" w:line="34"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7" w:lineRule="exact"/>
        <w:rPr>
          <w:sz w:val="24"/>
          <w:szCs w:val="24"/>
          <w:color w:val="auto"/>
        </w:rPr>
      </w:pPr>
    </w:p>
    <w:p>
      <w:pPr>
        <w:jc w:val="center"/>
        <w:ind w:right="-112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sz w:val="24"/>
          <w:szCs w:val="24"/>
          <w:color w:val="auto"/>
        </w:rPr>
      </w:pPr>
    </w:p>
    <w:p>
      <w:pPr>
        <w:ind w:left="460" w:hanging="452"/>
        <w:spacing w:after="0"/>
        <w:tabs>
          <w:tab w:leader="none" w:pos="460"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210820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519430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51" w:right="1440"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 Sylvan 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Parsippany, NJ 02054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 TO THE PROXY STATEMENT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SPECIAL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JULY 6, 2023</w:t>
      </w:r>
    </w:p>
    <w:p>
      <w:pPr>
        <w:spacing w:after="0" w:line="211" w:lineRule="exact"/>
        <w:rPr>
          <w:sz w:val="20"/>
          <w:szCs w:val="20"/>
          <w:color w:val="auto"/>
        </w:rPr>
      </w:pPr>
    </w:p>
    <w:p>
      <w:pPr>
        <w:ind w:left="10240"/>
        <w:spacing w:after="0"/>
        <w:rPr>
          <w:sz w:val="20"/>
          <w:szCs w:val="20"/>
          <w:color w:val="auto"/>
        </w:rPr>
      </w:pPr>
      <w:r>
        <w:rPr>
          <w:rFonts w:ascii="Arial" w:cs="Arial" w:eastAsia="Arial" w:hAnsi="Arial"/>
          <w:sz w:val="15"/>
          <w:szCs w:val="15"/>
          <w:color w:val="auto"/>
        </w:rPr>
        <w:t>June 20, 2023</w:t>
      </w:r>
    </w:p>
    <w:p>
      <w:pPr>
        <w:spacing w:after="0" w:line="26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These definitive additional materials (which we refer to as the “</w:t>
      </w:r>
      <w:r>
        <w:rPr>
          <w:rFonts w:ascii="Arial" w:cs="Arial" w:eastAsia="Arial" w:hAnsi="Arial"/>
          <w:sz w:val="18"/>
          <w:szCs w:val="18"/>
          <w:u w:val="single" w:color="auto"/>
          <w:color w:val="auto"/>
        </w:rPr>
        <w:t>Definitive Additional Materials</w:t>
      </w:r>
      <w:r>
        <w:rPr>
          <w:rFonts w:ascii="Arial" w:cs="Arial" w:eastAsia="Arial" w:hAnsi="Arial"/>
          <w:sz w:val="18"/>
          <w:szCs w:val="18"/>
          <w:color w:val="auto"/>
        </w:rPr>
        <w:t>”) amend and supplement the definitive proxy statement dated June 5, 2023 (which we refer to as the “</w:t>
      </w:r>
      <w:r>
        <w:rPr>
          <w:rFonts w:ascii="Arial" w:cs="Arial" w:eastAsia="Arial" w:hAnsi="Arial"/>
          <w:sz w:val="18"/>
          <w:szCs w:val="18"/>
          <w:u w:val="single" w:color="auto"/>
          <w:color w:val="auto"/>
        </w:rPr>
        <w:t>Definitive Proxy Statement</w:t>
      </w:r>
      <w:r>
        <w:rPr>
          <w:rFonts w:ascii="Arial" w:cs="Arial" w:eastAsia="Arial" w:hAnsi="Arial"/>
          <w:sz w:val="18"/>
          <w:szCs w:val="18"/>
          <w:color w:val="auto"/>
        </w:rPr>
        <w:t>”), initially mailed to stockholders on or about June 5, 2023, by IVERIC bio, Inc., a Delaware corporation (which we refer to as “</w:t>
      </w:r>
      <w:r>
        <w:rPr>
          <w:rFonts w:ascii="Arial" w:cs="Arial" w:eastAsia="Arial" w:hAnsi="Arial"/>
          <w:sz w:val="18"/>
          <w:szCs w:val="18"/>
          <w:u w:val="single" w:color="auto"/>
          <w:color w:val="auto"/>
        </w:rPr>
        <w:t>IVERIC</w:t>
      </w:r>
      <w:r>
        <w:rPr>
          <w:rFonts w:ascii="Arial" w:cs="Arial" w:eastAsia="Arial" w:hAnsi="Arial"/>
          <w:sz w:val="18"/>
          <w:szCs w:val="18"/>
          <w:color w:val="auto"/>
        </w:rPr>
        <w:t>”, “</w:t>
      </w:r>
      <w:r>
        <w:rPr>
          <w:rFonts w:ascii="Arial" w:cs="Arial" w:eastAsia="Arial" w:hAnsi="Arial"/>
          <w:sz w:val="18"/>
          <w:szCs w:val="18"/>
          <w:u w:val="single" w:color="auto"/>
          <w:color w:val="auto"/>
        </w:rPr>
        <w:t>we</w:t>
      </w:r>
      <w:r>
        <w:rPr>
          <w:rFonts w:ascii="Arial" w:cs="Arial" w:eastAsia="Arial" w:hAnsi="Arial"/>
          <w:sz w:val="18"/>
          <w:szCs w:val="18"/>
          <w:color w:val="auto"/>
        </w:rPr>
        <w:t>”, or “</w:t>
      </w:r>
      <w:r>
        <w:rPr>
          <w:rFonts w:ascii="Arial" w:cs="Arial" w:eastAsia="Arial" w:hAnsi="Arial"/>
          <w:sz w:val="18"/>
          <w:szCs w:val="18"/>
          <w:u w:val="single" w:color="auto"/>
          <w:color w:val="auto"/>
        </w:rPr>
        <w:t>our</w:t>
      </w:r>
      <w:r>
        <w:rPr>
          <w:rFonts w:ascii="Arial" w:cs="Arial" w:eastAsia="Arial" w:hAnsi="Arial"/>
          <w:sz w:val="18"/>
          <w:szCs w:val="18"/>
          <w:color w:val="auto"/>
        </w:rPr>
        <w:t>”), for a special meeting of our stockholders to be held virtually via live webcast on July 6, 2023, at 10 a.m., Eastern time. The purpose of the special meeting is to consider and vote upon, among other things, a proposal to adopt the Agreement and Plan of Merger (which we refer to, as it may be amended from time to time, as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dated April 28, 2023, by and among IVERIC, Astellas US Holding, Inc., a Delaware corporation (which we refer to as “</w:t>
      </w:r>
      <w:r>
        <w:rPr>
          <w:rFonts w:ascii="Arial" w:cs="Arial" w:eastAsia="Arial" w:hAnsi="Arial"/>
          <w:sz w:val="18"/>
          <w:szCs w:val="18"/>
          <w:u w:val="single" w:color="auto"/>
          <w:color w:val="auto"/>
        </w:rPr>
        <w:t>Parent</w:t>
      </w:r>
      <w:r>
        <w:rPr>
          <w:rFonts w:ascii="Arial" w:cs="Arial" w:eastAsia="Arial" w:hAnsi="Arial"/>
          <w:sz w:val="18"/>
          <w:szCs w:val="18"/>
          <w:color w:val="auto"/>
        </w:rPr>
        <w:t>”), Berry Merger Sub, Inc., a Delaware corporation and a wholly owned subsidiary of Parent (which we refer to as “</w:t>
      </w:r>
      <w:r>
        <w:rPr>
          <w:rFonts w:ascii="Arial" w:cs="Arial" w:eastAsia="Arial" w:hAnsi="Arial"/>
          <w:sz w:val="18"/>
          <w:szCs w:val="18"/>
          <w:u w:val="single" w:color="auto"/>
          <w:color w:val="auto"/>
        </w:rPr>
        <w:t>Merger Sub</w:t>
      </w:r>
      <w:r>
        <w:rPr>
          <w:rFonts w:ascii="Arial" w:cs="Arial" w:eastAsia="Arial" w:hAnsi="Arial"/>
          <w:sz w:val="18"/>
          <w:szCs w:val="18"/>
          <w:color w:val="auto"/>
        </w:rPr>
        <w:t>”), and solely as provided by Section 8.10(b) of the Merger Agreement, Astellas Pharma Inc., a company organized under the laws of Japan (which we refer to as “</w:t>
      </w:r>
      <w:r>
        <w:rPr>
          <w:rFonts w:ascii="Arial" w:cs="Arial" w:eastAsia="Arial" w:hAnsi="Arial"/>
          <w:sz w:val="18"/>
          <w:szCs w:val="18"/>
          <w:u w:val="single" w:color="auto"/>
          <w:color w:val="auto"/>
        </w:rPr>
        <w:t>Astellas</w:t>
      </w:r>
      <w:r>
        <w:rPr>
          <w:rFonts w:ascii="Arial" w:cs="Arial" w:eastAsia="Arial" w:hAnsi="Arial"/>
          <w:sz w:val="18"/>
          <w:szCs w:val="18"/>
          <w:color w:val="auto"/>
        </w:rPr>
        <w:t>” or “</w:t>
      </w:r>
      <w:r>
        <w:rPr>
          <w:rFonts w:ascii="Arial" w:cs="Arial" w:eastAsia="Arial" w:hAnsi="Arial"/>
          <w:sz w:val="18"/>
          <w:szCs w:val="18"/>
          <w:u w:val="single" w:color="auto"/>
          <w:color w:val="auto"/>
        </w:rPr>
        <w:t>Guarantor</w:t>
      </w:r>
      <w:r>
        <w:rPr>
          <w:rFonts w:ascii="Arial" w:cs="Arial" w:eastAsia="Arial" w:hAnsi="Arial"/>
          <w:sz w:val="18"/>
          <w:szCs w:val="18"/>
          <w:color w:val="auto"/>
        </w:rPr>
        <w:t>”). Pursuant to the terms of the Merger Agreement, Merger Sub will merge with and into IVERIC (which we refer to as the “</w:t>
      </w:r>
      <w:r>
        <w:rPr>
          <w:rFonts w:ascii="Arial" w:cs="Arial" w:eastAsia="Arial" w:hAnsi="Arial"/>
          <w:sz w:val="18"/>
          <w:szCs w:val="18"/>
          <w:u w:val="single" w:color="auto"/>
          <w:color w:val="auto"/>
        </w:rPr>
        <w:t>Merger</w:t>
      </w:r>
      <w:r>
        <w:rPr>
          <w:rFonts w:ascii="Arial" w:cs="Arial" w:eastAsia="Arial" w:hAnsi="Arial"/>
          <w:sz w:val="18"/>
          <w:szCs w:val="18"/>
          <w:color w:val="auto"/>
        </w:rPr>
        <w:t>”), with IVERIC surviving the Merger as a wholly owned subsidiary of Parent.</w:t>
      </w:r>
    </w:p>
    <w:p>
      <w:pPr>
        <w:spacing w:after="0" w:line="1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These Definitive Additional Materials have been filed by IVERIC with the United States Securities and Exchange Commission (which we refer to as the “</w:t>
      </w:r>
      <w:r>
        <w:rPr>
          <w:rFonts w:ascii="Arial" w:cs="Arial" w:eastAsia="Arial" w:hAnsi="Arial"/>
          <w:sz w:val="18"/>
          <w:szCs w:val="18"/>
          <w:u w:val="single" w:color="auto"/>
          <w:color w:val="auto"/>
        </w:rPr>
        <w:t>SEC</w:t>
      </w:r>
      <w:r>
        <w:rPr>
          <w:rFonts w:ascii="Arial" w:cs="Arial" w:eastAsia="Arial" w:hAnsi="Arial"/>
          <w:sz w:val="18"/>
          <w:szCs w:val="18"/>
          <w:color w:val="auto"/>
        </w:rPr>
        <w:t>”) on June 20, 2023.</w:t>
      </w:r>
    </w:p>
    <w:p>
      <w:pPr>
        <w:spacing w:after="0" w:line="166" w:lineRule="exact"/>
        <w:rPr>
          <w:sz w:val="20"/>
          <w:szCs w:val="20"/>
          <w:color w:val="auto"/>
        </w:rPr>
      </w:pPr>
    </w:p>
    <w:p>
      <w:pPr>
        <w:ind w:right="160"/>
        <w:spacing w:after="0" w:line="347" w:lineRule="auto"/>
        <w:rPr>
          <w:sz w:val="20"/>
          <w:szCs w:val="20"/>
          <w:color w:val="auto"/>
        </w:rPr>
      </w:pPr>
      <w:r>
        <w:rPr>
          <w:rFonts w:ascii="Arial" w:cs="Arial" w:eastAsia="Arial" w:hAnsi="Arial"/>
          <w:sz w:val="16"/>
          <w:szCs w:val="16"/>
          <w:b w:val="1"/>
          <w:bCs w:val="1"/>
          <w:color w:val="auto"/>
        </w:rPr>
        <w:t>If any stockholders have not already submitted a proxy for use at the special meeting, they are urged to do so promptly. No action in connection with this supplement is required by any stockholder who has previously delivered a proxy and who does not wish to revoke or change that proxy.</w:t>
      </w:r>
    </w:p>
    <w:p>
      <w:pPr>
        <w:spacing w:after="0" w:line="12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If any stockholders have more questions about the Merger or how to submit their proxies or if any stockholders need additional copies of the proxy statement, this supplement, the proxy card or voting instructions, please contact our Proxy Solicitor: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Innisfree M&amp;A Incorporated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Stockholders May Call Toll-Free: (877) 687-1865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Banks &amp; Brokers May Call Collect: (212) 750-5833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herein speaks only as of June 20, 2023 unless the information specifically indicates that another date applies.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SUPPLEMENTAL DISCLOSURES TO DEFINITIVE PROXY STATEMENT</w:t>
      </w:r>
    </w:p>
    <w:p>
      <w:pPr>
        <w:spacing w:after="0" w:line="22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i w:val="1"/>
          <w:iCs w:val="1"/>
          <w:color w:val="auto"/>
        </w:rPr>
        <w:t>This supplemental information should be read in conjunction with the Definitive Proxy Statement, which should be read in its entirety. IVERIC believes that no further disclosure is required to supplement the Definitive Proxy Statement under applicable law; however, to avoid the risks and uncertainties inherent in litigation and the risk that lawsuits may delay or otherwise adversely affect the consummation of the proposed Merger and to minimize the expense of defending such actions, IVERIC wishes to voluntarily make supplemental disclosures related to the proposed Merger, which are set forth below, in response to certain allegations. Nothing in these supplemental disclosures shall be deemed an admission of liability or the legal necessity or materiality under applicable law of any of the disclosures set forth herein. To the extent that information in these Definitive Additional Materials differs from or conflicts with information contained in the Definitive Proxy Statement, the information in these Definitive Additional Materials shall supersede or supplement the information in the Definitive Proxy Statement. Defined terms used but not defined herein have the meanings set forth in the Definitive Proxy Statement.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i w:val="1"/>
          <w:iCs w:val="1"/>
          <w:color w:val="auto"/>
        </w:rPr>
        <w:t>The disclosure under the section entitled “Summary” is hereby amended and supplemented by adding the following language as a new section immediately following the section entitled “Summary — Certain U.S. Federal Income Tax Consequences of the Merger” on page 7 of the Definitive Proxy Statement: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 Regarding the Merger</w:t>
      </w:r>
    </w:p>
    <w:p>
      <w:pPr>
        <w:spacing w:after="0" w:line="229"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 xml:space="preserve">As of June 19, 2023, three complaints have been filed in federal court and one complaint has been filed in the Superior Court of New Jersey, each relating to the Merger. On May 26, 2023, a purported stockholder of IVERIC filed a lawsuit in the United States District Court for the Southern District of New York against IVERIC and its directors, captioned </w:t>
      </w:r>
      <w:r>
        <w:rPr>
          <w:rFonts w:ascii="Arial" w:cs="Arial" w:eastAsia="Arial" w:hAnsi="Arial"/>
          <w:sz w:val="16"/>
          <w:szCs w:val="16"/>
          <w:i w:val="1"/>
          <w:iCs w:val="1"/>
          <w:color w:val="auto"/>
        </w:rPr>
        <w:t>Ryan O’Dell v. IVERIC bio, Inc., et al., Case No. 23-cv-04447</w:t>
      </w:r>
      <w:r>
        <w:rPr>
          <w:rFonts w:ascii="Arial" w:cs="Arial" w:eastAsia="Arial" w:hAnsi="Arial"/>
          <w:sz w:val="16"/>
          <w:szCs w:val="16"/>
          <w:color w:val="auto"/>
        </w:rPr>
        <w:t xml:space="preserve"> (which we refer to as the “</w:t>
      </w:r>
      <w:r>
        <w:rPr>
          <w:rFonts w:ascii="Arial" w:cs="Arial" w:eastAsia="Arial" w:hAnsi="Arial"/>
          <w:sz w:val="16"/>
          <w:szCs w:val="16"/>
          <w:u w:val="single" w:color="auto"/>
          <w:color w:val="auto"/>
        </w:rPr>
        <w:t>O’Dell</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Complaint</w:t>
      </w:r>
      <w:r>
        <w:rPr>
          <w:rFonts w:ascii="Arial" w:cs="Arial" w:eastAsia="Arial" w:hAnsi="Arial"/>
          <w:sz w:val="16"/>
          <w:szCs w:val="16"/>
          <w:color w:val="auto"/>
        </w:rPr>
        <w:t xml:space="preserve">”). On June 13, 2023, a purported stockholder of IVERIC filed a lawsuit in the Superior Court of New Jersey against Parent, IVERIC and its directors, captioned </w:t>
      </w:r>
      <w:r>
        <w:rPr>
          <w:rFonts w:ascii="Arial" w:cs="Arial" w:eastAsia="Arial" w:hAnsi="Arial"/>
          <w:sz w:val="16"/>
          <w:szCs w:val="16"/>
          <w:i w:val="1"/>
          <w:iCs w:val="1"/>
          <w:color w:val="auto"/>
        </w:rPr>
        <w:t>Robert Garfield v. IVERIC bio, Inc., et al., Case No. MRS-C-000048-23</w:t>
      </w:r>
      <w:r>
        <w:rPr>
          <w:rFonts w:ascii="Arial" w:cs="Arial" w:eastAsia="Arial" w:hAnsi="Arial"/>
          <w:sz w:val="16"/>
          <w:szCs w:val="16"/>
          <w:color w:val="auto"/>
        </w:rPr>
        <w:t xml:space="preserve"> (which we refer to as the “</w:t>
      </w:r>
      <w:r>
        <w:rPr>
          <w:rFonts w:ascii="Arial" w:cs="Arial" w:eastAsia="Arial" w:hAnsi="Arial"/>
          <w:sz w:val="16"/>
          <w:szCs w:val="16"/>
          <w:u w:val="single" w:color="auto"/>
          <w:color w:val="auto"/>
        </w:rPr>
        <w:t>Garfield Complaint</w:t>
      </w:r>
      <w:r>
        <w:rPr>
          <w:rFonts w:ascii="Arial" w:cs="Arial" w:eastAsia="Arial" w:hAnsi="Arial"/>
          <w:sz w:val="16"/>
          <w:szCs w:val="16"/>
          <w:color w:val="auto"/>
        </w:rPr>
        <w:t xml:space="preserve">”). Also on June 13, 2023, a purported stockholder of IVERIC filed a lawsuit in the United States District Court for the District of Delaware against IVERIC and its directors, captioned </w:t>
      </w:r>
      <w:r>
        <w:rPr>
          <w:rFonts w:ascii="Arial" w:cs="Arial" w:eastAsia="Arial" w:hAnsi="Arial"/>
          <w:sz w:val="16"/>
          <w:szCs w:val="16"/>
          <w:i w:val="1"/>
          <w:iCs w:val="1"/>
          <w:color w:val="auto"/>
        </w:rPr>
        <w:t>Catherine Coffman v. IVERIC bio, Inc., et al., Case No. 23-cv-00648</w:t>
      </w:r>
      <w:r>
        <w:rPr>
          <w:rFonts w:ascii="Arial" w:cs="Arial" w:eastAsia="Arial" w:hAnsi="Arial"/>
          <w:sz w:val="16"/>
          <w:szCs w:val="16"/>
          <w:color w:val="auto"/>
        </w:rPr>
        <w:t xml:space="preserve"> (which we refer to as the “</w:t>
      </w:r>
      <w:r>
        <w:rPr>
          <w:rFonts w:ascii="Arial" w:cs="Arial" w:eastAsia="Arial" w:hAnsi="Arial"/>
          <w:sz w:val="16"/>
          <w:szCs w:val="16"/>
          <w:u w:val="single" w:color="auto"/>
          <w:color w:val="auto"/>
        </w:rPr>
        <w:t>Coffman Complaint</w:t>
      </w:r>
      <w:r>
        <w:rPr>
          <w:rFonts w:ascii="Arial" w:cs="Arial" w:eastAsia="Arial" w:hAnsi="Arial"/>
          <w:sz w:val="16"/>
          <w:szCs w:val="16"/>
          <w:color w:val="auto"/>
        </w:rPr>
        <w:t xml:space="preserve">”). On June 14, 2023, a purported stockholder of IVERIC filed a lawsuit in the United States District Court for the District of Delaware against IVERIC and its directors, captioned </w:t>
      </w:r>
      <w:r>
        <w:rPr>
          <w:rFonts w:ascii="Arial" w:cs="Arial" w:eastAsia="Arial" w:hAnsi="Arial"/>
          <w:sz w:val="16"/>
          <w:szCs w:val="16"/>
          <w:i w:val="1"/>
          <w:iCs w:val="1"/>
          <w:color w:val="auto"/>
        </w:rPr>
        <w:t>Shannon O’Neill v. IVERIC bio, Inc., et al., Case No. 23-cv-00652</w:t>
      </w:r>
      <w:r>
        <w:rPr>
          <w:rFonts w:ascii="Arial" w:cs="Arial" w:eastAsia="Arial" w:hAnsi="Arial"/>
          <w:sz w:val="16"/>
          <w:szCs w:val="16"/>
          <w:color w:val="auto"/>
        </w:rPr>
        <w:t xml:space="preserve"> (which we refer to as the “</w:t>
      </w:r>
      <w:r>
        <w:rPr>
          <w:rFonts w:ascii="Arial" w:cs="Arial" w:eastAsia="Arial" w:hAnsi="Arial"/>
          <w:sz w:val="16"/>
          <w:szCs w:val="16"/>
          <w:u w:val="single" w:color="auto"/>
          <w:color w:val="auto"/>
        </w:rPr>
        <w:t>O’Neill Complaint</w:t>
      </w:r>
      <w:r>
        <w:rPr>
          <w:rFonts w:ascii="Arial" w:cs="Arial" w:eastAsia="Arial" w:hAnsi="Arial"/>
          <w:sz w:val="16"/>
          <w:szCs w:val="16"/>
          <w:color w:val="auto"/>
        </w:rPr>
        <w:t>”).</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O’Dell Complaint, the Coffman Complaint, and the O’Neill Complaint allege that the proxy statement issued in connection with the Merger omits material information or contains misleading disclosures and that, as a result, (i) all of the defendants violated Section 14(a) of the Exchange Act and (ii) all of IVERIC’s directors violated Section 20(a) of the Exchange Act. The Garfield Complaint alleges violations of the New Jersey securities laws and negligent misrepresentation and concealment under New Jersey state law.</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complaints seek, among other things, (i) injunctive relief preventing the consummation of the transactions contemplated by the Merger Agreement;</w:t>
      </w:r>
    </w:p>
    <w:p>
      <w:pPr>
        <w:spacing w:after="0" w:line="46" w:lineRule="exact"/>
        <w:rPr>
          <w:sz w:val="20"/>
          <w:szCs w:val="20"/>
          <w:color w:val="auto"/>
        </w:rPr>
      </w:pPr>
    </w:p>
    <w:p>
      <w:pPr>
        <w:ind w:firstLine="8"/>
        <w:spacing w:after="0" w:line="271" w:lineRule="auto"/>
        <w:tabs>
          <w:tab w:leader="none" w:pos="265" w:val="left"/>
        </w:tabs>
        <w:numPr>
          <w:ilvl w:val="0"/>
          <w:numId w:val="7"/>
        </w:numPr>
        <w:rPr>
          <w:rFonts w:ascii="Arial" w:cs="Arial" w:eastAsia="Arial" w:hAnsi="Arial"/>
          <w:sz w:val="17"/>
          <w:szCs w:val="17"/>
          <w:color w:val="auto"/>
        </w:rPr>
      </w:pPr>
      <w:r>
        <w:rPr>
          <w:rFonts w:ascii="Arial" w:cs="Arial" w:eastAsia="Arial" w:hAnsi="Arial"/>
          <w:sz w:val="17"/>
          <w:szCs w:val="17"/>
          <w:color w:val="auto"/>
        </w:rPr>
        <w:t>rescission or rescissory damages in the event the transactions contemplated by the Merger Agreement have been implemented; (iii) dissemination of a proxy statement that does not omit material information or contain any misleading disclosures; (iv) an award of damages that plaintiff suffered as a result of the defendant’s purported wrongdoings; and (v) an award of plaintiff’s expenses, including attorneys’ and experts’ fees. In addition, the Garfield Complaint seeks a declaration that defendants violated New Jersey securities laws and negligently concealed facts under New Jersey state law, and the O’Neill Complaint seeks a declaration that defendants violated Sections 14(a) and/or 20(a) of the Exchange Act.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IVERIC, Parent and Merger Sub believe the claims asserted in each of the complaints are without merit.</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Additional lawsuits may be filed against IVERIC, the Board of Directors, Parent and/or Merger Sub in connection with the transactions contemplated by the Merger Agreement and the Definitive Proxy Statement.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THE MERGER</w:t>
      </w:r>
    </w:p>
    <w:p>
      <w:pPr>
        <w:spacing w:after="0" w:line="229"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i w:val="1"/>
          <w:iCs w:val="1"/>
          <w:color w:val="auto"/>
        </w:rPr>
        <w:t>The disclosure under the section entitled “The Merger” is hereby amended and supplemented by adding the following language as a new section immediately following the section entitled “The Merger — Certain U.S. Federal Income Tax Consequences of the Merger” ending on page 81 of the Definitive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 Regarding the Merger</w:t>
      </w:r>
    </w:p>
    <w:p>
      <w:pPr>
        <w:spacing w:after="0" w:line="229"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 xml:space="preserve">As of June 19, 2023, three complaints have been filed in federal court and one complaint has been filed in the Superior Court of New Jersey, each relating to the Merger. On May 26, 2023, a purported stockholder of IVERIC filed a lawsuit in the United States District Court for the Southern District of New York against IVERIC and its directors, captioned </w:t>
      </w:r>
      <w:r>
        <w:rPr>
          <w:rFonts w:ascii="Arial" w:cs="Arial" w:eastAsia="Arial" w:hAnsi="Arial"/>
          <w:sz w:val="16"/>
          <w:szCs w:val="16"/>
          <w:i w:val="1"/>
          <w:iCs w:val="1"/>
          <w:color w:val="auto"/>
        </w:rPr>
        <w:t>Ryan O’Dell v. IVERIC bio, Inc., et al., Case No. 23-cv-04447</w:t>
      </w:r>
      <w:r>
        <w:rPr>
          <w:rFonts w:ascii="Arial" w:cs="Arial" w:eastAsia="Arial" w:hAnsi="Arial"/>
          <w:sz w:val="16"/>
          <w:szCs w:val="16"/>
          <w:color w:val="auto"/>
        </w:rPr>
        <w:t xml:space="preserve"> (which we refer to as the “</w:t>
      </w:r>
      <w:r>
        <w:rPr>
          <w:rFonts w:ascii="Arial" w:cs="Arial" w:eastAsia="Arial" w:hAnsi="Arial"/>
          <w:sz w:val="16"/>
          <w:szCs w:val="16"/>
          <w:u w:val="single" w:color="auto"/>
          <w:color w:val="auto"/>
        </w:rPr>
        <w:t>O’Dell</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Complaint</w:t>
      </w:r>
      <w:r>
        <w:rPr>
          <w:rFonts w:ascii="Arial" w:cs="Arial" w:eastAsia="Arial" w:hAnsi="Arial"/>
          <w:sz w:val="16"/>
          <w:szCs w:val="16"/>
          <w:color w:val="auto"/>
        </w:rPr>
        <w:t xml:space="preserve">”). On June 13, 2023, a purported stockholder of IVERIC filed a lawsuit in the Superior Court of New Jersey against Parent, IVERIC and its directors, captioned </w:t>
      </w:r>
      <w:r>
        <w:rPr>
          <w:rFonts w:ascii="Arial" w:cs="Arial" w:eastAsia="Arial" w:hAnsi="Arial"/>
          <w:sz w:val="16"/>
          <w:szCs w:val="16"/>
          <w:i w:val="1"/>
          <w:iCs w:val="1"/>
          <w:color w:val="auto"/>
        </w:rPr>
        <w:t>Robert Garfield v. IVERIC bio, Inc., et al., Case No. MRS-C-000048-23</w:t>
      </w:r>
      <w:r>
        <w:rPr>
          <w:rFonts w:ascii="Arial" w:cs="Arial" w:eastAsia="Arial" w:hAnsi="Arial"/>
          <w:sz w:val="16"/>
          <w:szCs w:val="16"/>
          <w:color w:val="auto"/>
        </w:rPr>
        <w:t xml:space="preserve"> (which we refer to as the “</w:t>
      </w:r>
      <w:r>
        <w:rPr>
          <w:rFonts w:ascii="Arial" w:cs="Arial" w:eastAsia="Arial" w:hAnsi="Arial"/>
          <w:sz w:val="16"/>
          <w:szCs w:val="16"/>
          <w:u w:val="single" w:color="auto"/>
          <w:color w:val="auto"/>
        </w:rPr>
        <w:t>Garfield Complaint</w:t>
      </w:r>
      <w:r>
        <w:rPr>
          <w:rFonts w:ascii="Arial" w:cs="Arial" w:eastAsia="Arial" w:hAnsi="Arial"/>
          <w:sz w:val="16"/>
          <w:szCs w:val="16"/>
          <w:color w:val="auto"/>
        </w:rPr>
        <w:t xml:space="preserve">”). Also on June 13, 2023, a purported stockholder of IVERIC filed a lawsuit in the United States District Court for the District of Delaware against IVERIC and its directors, captioned </w:t>
      </w:r>
      <w:r>
        <w:rPr>
          <w:rFonts w:ascii="Arial" w:cs="Arial" w:eastAsia="Arial" w:hAnsi="Arial"/>
          <w:sz w:val="16"/>
          <w:szCs w:val="16"/>
          <w:i w:val="1"/>
          <w:iCs w:val="1"/>
          <w:color w:val="auto"/>
        </w:rPr>
        <w:t>Catherine Coffman v. IVERIC bio, Inc., et al., Case No. 23-cv-00648</w:t>
      </w:r>
      <w:r>
        <w:rPr>
          <w:rFonts w:ascii="Arial" w:cs="Arial" w:eastAsia="Arial" w:hAnsi="Arial"/>
          <w:sz w:val="16"/>
          <w:szCs w:val="16"/>
          <w:color w:val="auto"/>
        </w:rPr>
        <w:t xml:space="preserve"> (which we refer to as the “</w:t>
      </w:r>
      <w:r>
        <w:rPr>
          <w:rFonts w:ascii="Arial" w:cs="Arial" w:eastAsia="Arial" w:hAnsi="Arial"/>
          <w:sz w:val="16"/>
          <w:szCs w:val="16"/>
          <w:u w:val="single" w:color="auto"/>
          <w:color w:val="auto"/>
        </w:rPr>
        <w:t>Coffman Complaint</w:t>
      </w:r>
      <w:r>
        <w:rPr>
          <w:rFonts w:ascii="Arial" w:cs="Arial" w:eastAsia="Arial" w:hAnsi="Arial"/>
          <w:sz w:val="16"/>
          <w:szCs w:val="16"/>
          <w:color w:val="auto"/>
        </w:rPr>
        <w:t xml:space="preserve">”). On June 14, 2023, a purported stockholder of IVERIC filed a lawsuit in the United States District Court for the District of Delaware against IVERIC and its directors, captioned </w:t>
      </w:r>
      <w:r>
        <w:rPr>
          <w:rFonts w:ascii="Arial" w:cs="Arial" w:eastAsia="Arial" w:hAnsi="Arial"/>
          <w:sz w:val="16"/>
          <w:szCs w:val="16"/>
          <w:i w:val="1"/>
          <w:iCs w:val="1"/>
          <w:color w:val="auto"/>
        </w:rPr>
        <w:t>Shannon O’Neill v. IVERIC bio, Inc., et al., Case No. 23-cv-00652</w:t>
      </w:r>
      <w:r>
        <w:rPr>
          <w:rFonts w:ascii="Arial" w:cs="Arial" w:eastAsia="Arial" w:hAnsi="Arial"/>
          <w:sz w:val="16"/>
          <w:szCs w:val="16"/>
          <w:color w:val="auto"/>
        </w:rPr>
        <w:t xml:space="preserve"> (which we refer to as the “</w:t>
      </w:r>
      <w:r>
        <w:rPr>
          <w:rFonts w:ascii="Arial" w:cs="Arial" w:eastAsia="Arial" w:hAnsi="Arial"/>
          <w:sz w:val="16"/>
          <w:szCs w:val="16"/>
          <w:u w:val="single" w:color="auto"/>
          <w:color w:val="auto"/>
        </w:rPr>
        <w:t>O’Neill Complaint</w:t>
      </w:r>
      <w:r>
        <w:rPr>
          <w:rFonts w:ascii="Arial" w:cs="Arial" w:eastAsia="Arial" w:hAnsi="Arial"/>
          <w:sz w:val="16"/>
          <w:szCs w:val="16"/>
          <w:color w:val="auto"/>
        </w:rPr>
        <w:t>”).</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O’Dell Complaint, the Coffman Complaint, and the O’Neill Complaint allege that the proxy statement issued in connection with the Merger omits material information or contains misleading disclosures and that, as a result, (i) all of the defendants violated Section 14(a) of the Exchange Act and (ii) all of IVERIC’s directors violated Section 20(a) of the Exchange Act. The Garfield Complaint alleges violations of the New Jersey securities laws and negligent misrepresentation and concealment under New Jersey state law.</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complaints seek, among other things, (i) injunctive relief preventing the consummation of the transactions contemplated by the Merger Agreement;</w:t>
      </w:r>
    </w:p>
    <w:p>
      <w:pPr>
        <w:spacing w:after="0" w:line="46" w:lineRule="exact"/>
        <w:rPr>
          <w:sz w:val="20"/>
          <w:szCs w:val="20"/>
          <w:color w:val="auto"/>
        </w:rPr>
      </w:pPr>
    </w:p>
    <w:p>
      <w:pPr>
        <w:ind w:firstLine="8"/>
        <w:spacing w:after="0" w:line="271" w:lineRule="auto"/>
        <w:tabs>
          <w:tab w:leader="none" w:pos="265" w:val="left"/>
        </w:tabs>
        <w:numPr>
          <w:ilvl w:val="0"/>
          <w:numId w:val="8"/>
        </w:numPr>
        <w:rPr>
          <w:rFonts w:ascii="Arial" w:cs="Arial" w:eastAsia="Arial" w:hAnsi="Arial"/>
          <w:sz w:val="17"/>
          <w:szCs w:val="17"/>
          <w:color w:val="auto"/>
        </w:rPr>
      </w:pPr>
      <w:r>
        <w:rPr>
          <w:rFonts w:ascii="Arial" w:cs="Arial" w:eastAsia="Arial" w:hAnsi="Arial"/>
          <w:sz w:val="17"/>
          <w:szCs w:val="17"/>
          <w:color w:val="auto"/>
        </w:rPr>
        <w:t>rescission or rescissory damages in the event the transactions contemplated by the Merger Agreement have been implemented; (iii) dissemination of a proxy statement that does not omit material information or contain any misleading disclosures; (iv) an award of damages that plaintiff suffered as a result of the defendant’s purported wrongdoings; and (v) an award of plaintiff’s expenses, including attorneys’ and experts’ fees. In addition, the Garfield Complaint seeks a declaration that defendants violated New Jersey securities laws and negligently concealed facts under New Jersey state law, and the O’Neill Complaint seeks a declaration that defendants violated Sections 14(a) and/or 20(a) of the Exchange Act.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IVERIC, Parent and Merger Sub believe the claims asserted in each of the complaints are without merit.</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Additional lawsuits may be filed against IVERIC, the Board of Directors, Parent and/or Merger Sub in connection with the transactions contemplated by the Merger Agreement and the Definitive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the Merger</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i w:val="1"/>
          <w:iCs w:val="1"/>
          <w:color w:val="auto"/>
        </w:rPr>
        <w:t>The disclosure under the section entitled “The Merger — Background of the Merger” is hereby amended and supplemented by adding the following bolded and double underlined language and deleting the following strikethrough language in the last paragraph on page 33 of the Definitive Proxy Statement:</w:t>
      </w:r>
    </w:p>
    <w:p>
      <w:pPr>
        <w:spacing w:after="0" w:line="120"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In December 2021, representatives of Party D proposed terms for a potential global partnership for ACP</w:t>
      </w:r>
      <w:r>
        <w:rPr>
          <w:rFonts w:ascii="Arial" w:cs="Arial" w:eastAsia="Arial" w:hAnsi="Arial"/>
          <w:sz w:val="17"/>
          <w:szCs w:val="17"/>
          <w:b w:val="1"/>
          <w:bCs w:val="1"/>
          <w:u w:val="single" w:color="auto"/>
          <w:color w:val="auto"/>
        </w:rPr>
        <w:t>, which included an upfront payment of $200</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million, aggregate commercial and sales milestones of up to $205 million and royalties ranging from 15% to 18% of annual net sales,</w:t>
      </w:r>
      <w:r>
        <w:rPr>
          <w:rFonts w:ascii="Arial" w:cs="Arial" w:eastAsia="Arial" w:hAnsi="Arial"/>
          <w:sz w:val="17"/>
          <w:szCs w:val="17"/>
          <w:b w:val="1"/>
          <w:bCs w:val="1"/>
          <w:color w:val="auto"/>
        </w:rPr>
        <w:t xml:space="preserve"> </w:t>
      </w:r>
      <w:r>
        <w:rPr>
          <w:rFonts w:ascii="Arial" w:cs="Arial" w:eastAsia="Arial" w:hAnsi="Arial"/>
          <w:sz w:val="17"/>
          <w:szCs w:val="17"/>
          <w:color w:val="auto"/>
        </w:rPr>
        <w:t>and</w:t>
      </w:r>
      <w:r>
        <w:rPr>
          <w:rFonts w:ascii="Arial" w:cs="Arial" w:eastAsia="Arial" w:hAnsi="Arial"/>
          <w:sz w:val="17"/>
          <w:szCs w:val="17"/>
          <w:b w:val="1"/>
          <w:bCs w:val="1"/>
          <w:color w:val="auto"/>
        </w:rPr>
        <w:t xml:space="preserve"> </w:t>
      </w:r>
      <w:r>
        <w:rPr>
          <w:rFonts w:ascii="Arial" w:cs="Arial" w:eastAsia="Arial" w:hAnsi="Arial"/>
          <w:sz w:val="17"/>
          <w:szCs w:val="17"/>
          <w:color w:val="auto"/>
        </w:rPr>
        <w:t>subsequently proposed terms for an ex-US partnership for ACP</w:t>
      </w:r>
      <w:r>
        <w:rPr>
          <w:rFonts w:ascii="Arial" w:cs="Arial" w:eastAsia="Arial" w:hAnsi="Arial"/>
          <w:sz w:val="17"/>
          <w:szCs w:val="17"/>
          <w:b w:val="1"/>
          <w:bCs w:val="1"/>
          <w:u w:val="single" w:color="auto"/>
          <w:color w:val="auto"/>
        </w:rPr>
        <w:t>, which included an upfront payment of $100 million, aggregate commercial and sales</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milestones of up to $245 million and royalties ranging from 15% to 18% of annual net sales</w:t>
      </w:r>
      <w:r>
        <w:rPr>
          <w:rFonts w:ascii="Arial" w:cs="Arial" w:eastAsia="Arial" w:hAnsi="Arial"/>
          <w:sz w:val="17"/>
          <w:szCs w:val="17"/>
          <w:color w:val="auto"/>
        </w:rPr>
        <w:t>. IVERIC viewed each of these proposals as not reflecting</w:t>
      </w:r>
      <w:r>
        <w:rPr>
          <w:rFonts w:ascii="Arial" w:cs="Arial" w:eastAsia="Arial" w:hAnsi="Arial"/>
          <w:sz w:val="17"/>
          <w:szCs w:val="17"/>
          <w:b w:val="1"/>
          <w:bCs w:val="1"/>
          <w:color w:val="auto"/>
        </w:rPr>
        <w:t xml:space="preserve"> </w:t>
      </w:r>
      <w:r>
        <w:rPr>
          <w:rFonts w:ascii="Arial" w:cs="Arial" w:eastAsia="Arial" w:hAnsi="Arial"/>
          <w:sz w:val="17"/>
          <w:szCs w:val="17"/>
          <w:color w:val="auto"/>
        </w:rPr>
        <w:t>an adequate value for ACP and decided to not engage further with Party D regarding either proposal.</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jc w:val="both"/>
        <w:ind w:right="20"/>
        <w:spacing w:after="0" w:line="342" w:lineRule="auto"/>
        <w:rPr>
          <w:sz w:val="20"/>
          <w:szCs w:val="20"/>
          <w:color w:val="auto"/>
        </w:rPr>
      </w:pPr>
      <w:r>
        <w:rPr>
          <w:rFonts w:ascii="Arial" w:cs="Arial" w:eastAsia="Arial" w:hAnsi="Arial"/>
          <w:sz w:val="16"/>
          <w:szCs w:val="16"/>
          <w:i w:val="1"/>
          <w:iCs w:val="1"/>
          <w:color w:val="auto"/>
        </w:rPr>
        <w:t>The disclosure under the section entitled “The Merger — Background of the Merger” is hereby amended and supplemented by adding the following bolded and double underlined language and deleting the following strikethrough language in the first full paragraph on page 40 of the Definitive Proxy Statement:</w:t>
      </w:r>
    </w:p>
    <w:p>
      <w:pPr>
        <w:spacing w:after="0" w:line="124"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 xml:space="preserve">On April 13, 2023, Party C submitted a written proposal to obtain an exclusive license to all rights to ACP outside of the US, which included an upfront payment </w:t>
      </w:r>
      <w:r>
        <w:rPr>
          <w:rFonts w:ascii="Arial" w:cs="Arial" w:eastAsia="Arial" w:hAnsi="Arial"/>
          <w:sz w:val="18"/>
          <w:szCs w:val="18"/>
          <w:b w:val="1"/>
          <w:bCs w:val="1"/>
          <w:u w:val="single" w:color="auto"/>
          <w:color w:val="auto"/>
        </w:rPr>
        <w:t>of $40 million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aggregate</w:t>
      </w:r>
      <w:r>
        <w:rPr>
          <w:rFonts w:ascii="Arial" w:cs="Arial" w:eastAsia="Arial" w:hAnsi="Arial"/>
          <w:sz w:val="18"/>
          <w:szCs w:val="18"/>
          <w:color w:val="auto"/>
        </w:rPr>
        <w:t xml:space="preserve"> regulatory and sales milestones </w:t>
      </w:r>
      <w:r>
        <w:rPr>
          <w:rFonts w:ascii="Arial" w:cs="Arial" w:eastAsia="Arial" w:hAnsi="Arial"/>
          <w:sz w:val="18"/>
          <w:szCs w:val="18"/>
          <w:b w:val="1"/>
          <w:bCs w:val="1"/>
          <w:u w:val="single" w:color="auto"/>
          <w:color w:val="auto"/>
        </w:rPr>
        <w:t>of up to $555 million</w:t>
      </w:r>
      <w:r>
        <w:rPr>
          <w:rFonts w:ascii="Arial" w:cs="Arial" w:eastAsia="Arial" w:hAnsi="Arial"/>
          <w:sz w:val="18"/>
          <w:szCs w:val="18"/>
          <w:color w:val="auto"/>
        </w:rPr>
        <w:t xml:space="preserve"> and royalties </w:t>
      </w:r>
      <w:r>
        <w:rPr>
          <w:rFonts w:ascii="Arial" w:cs="Arial" w:eastAsia="Arial" w:hAnsi="Arial"/>
          <w:sz w:val="18"/>
          <w:szCs w:val="18"/>
          <w:color w:val="auto"/>
          <w:strike w:val="1"/>
        </w:rPr>
        <w:t>based on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ranging from 15% to 22.5% of</w:t>
      </w:r>
      <w:r>
        <w:rPr>
          <w:rFonts w:ascii="Arial" w:cs="Arial" w:eastAsia="Arial" w:hAnsi="Arial"/>
          <w:sz w:val="18"/>
          <w:szCs w:val="18"/>
          <w:color w:val="auto"/>
        </w:rPr>
        <w:t xml:space="preserve"> annual net sales. Following submission of the proposal, in accordance with instructions of IVERIC’s management, a representative of Centerview discussed the proposal with a representative of Party C, during which discussion the representative of Centerview indicated that IVERIC viewed the proposal as productive, but Party C would need to increase the upfront payment and milestone payments, and that IVERIC was interested continuing discussions to explore the possibility of granting co-development and co-commercialization rights with respect to ACP in the US. Party C did not subsequently submit a revised proposal.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of IVERIC’s Financial Advisors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of BofA Securities, Inc.</w:t>
      </w:r>
    </w:p>
    <w:p>
      <w:pPr>
        <w:spacing w:after="0" w:line="225"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i w:val="1"/>
          <w:iCs w:val="1"/>
          <w:color w:val="auto"/>
        </w:rPr>
        <w:t>The disclosure under the section entitled “The Merger — Opinion of IVERIC’s Financial Advisors — Opinion of BofA Securities, Inc.” is hereby amended and supplemented by adding the following bolded and double underlined language to the first table on page 52 of the Definitive Proxy Statement:</w:t>
      </w:r>
    </w:p>
    <w:p>
      <w:pPr>
        <w:spacing w:after="0" w:line="106"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60" w:type="dxa"/>
            <w:vAlign w:val="bottom"/>
            <w:gridSpan w:val="3"/>
          </w:tcPr>
          <w:p>
            <w:pPr>
              <w:ind w:left="60"/>
              <w:spacing w:after="0"/>
              <w:rPr>
                <w:sz w:val="20"/>
                <w:szCs w:val="20"/>
                <w:color w:val="auto"/>
              </w:rPr>
            </w:pPr>
            <w:r>
              <w:rPr>
                <w:rFonts w:ascii="Arial" w:cs="Arial" w:eastAsia="Arial" w:hAnsi="Arial"/>
                <w:sz w:val="18"/>
                <w:szCs w:val="18"/>
                <w:b w:val="1"/>
                <w:bCs w:val="1"/>
                <w:color w:val="auto"/>
              </w:rPr>
              <w:t>Target</w:t>
            </w:r>
          </w:p>
        </w:tc>
        <w:tc>
          <w:tcPr>
            <w:tcW w:w="180" w:type="dxa"/>
            <w:vAlign w:val="bottom"/>
          </w:tcPr>
          <w:p>
            <w:pPr>
              <w:spacing w:after="0"/>
              <w:rPr>
                <w:sz w:val="17"/>
                <w:szCs w:val="17"/>
                <w:color w:val="auto"/>
              </w:rPr>
            </w:pPr>
          </w:p>
        </w:tc>
        <w:tc>
          <w:tcPr>
            <w:tcW w:w="194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w w:val="95"/>
              </w:rPr>
              <w:t xml:space="preserve">Enterprise Value </w:t>
            </w:r>
            <w:r>
              <w:rPr>
                <w:rFonts w:ascii="Arial" w:cs="Arial" w:eastAsia="Arial" w:hAnsi="Arial"/>
                <w:sz w:val="18"/>
                <w:szCs w:val="18"/>
                <w:b w:val="1"/>
                <w:bCs w:val="1"/>
                <w:u w:val="single" w:color="auto"/>
                <w:color w:val="auto"/>
                <w:w w:val="95"/>
              </w:rPr>
              <w:t>($</w:t>
            </w:r>
            <w:r>
              <w:rPr>
                <w:rFonts w:ascii="Arial" w:cs="Arial" w:eastAsia="Arial" w:hAnsi="Arial"/>
                <w:sz w:val="18"/>
                <w:szCs w:val="18"/>
                <w:b w:val="1"/>
                <w:bCs w:val="1"/>
                <w:color w:val="auto"/>
                <w:w w:val="95"/>
              </w:rPr>
              <w:t>bn)</w:t>
            </w:r>
          </w:p>
        </w:tc>
        <w:tc>
          <w:tcPr>
            <w:tcW w:w="2880" w:type="dxa"/>
            <w:vAlign w:val="bottom"/>
            <w:gridSpan w:val="3"/>
          </w:tcPr>
          <w:p>
            <w:pPr>
              <w:ind w:left="180"/>
              <w:spacing w:after="0"/>
              <w:rPr>
                <w:sz w:val="20"/>
                <w:szCs w:val="20"/>
                <w:color w:val="auto"/>
              </w:rPr>
            </w:pPr>
            <w:r>
              <w:rPr>
                <w:rFonts w:ascii="Arial" w:cs="Arial" w:eastAsia="Arial" w:hAnsi="Arial"/>
                <w:sz w:val="18"/>
                <w:szCs w:val="18"/>
                <w:b w:val="1"/>
                <w:bCs w:val="1"/>
                <w:color w:val="auto"/>
                <w:w w:val="93"/>
              </w:rPr>
              <w:t>EV / PoS Adjusted CY+3 Revenue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gridSpan w:val="5"/>
            <w:shd w:val="clear" w:color="auto" w:fill="CCEEFF"/>
          </w:tcPr>
          <w:p>
            <w:pPr>
              <w:spacing w:after="0" w:line="169" w:lineRule="exact"/>
              <w:rPr>
                <w:sz w:val="20"/>
                <w:szCs w:val="20"/>
                <w:color w:val="auto"/>
              </w:rPr>
            </w:pPr>
            <w:r>
              <w:rPr>
                <w:rFonts w:ascii="Arial" w:cs="Arial" w:eastAsia="Arial" w:hAnsi="Arial"/>
                <w:sz w:val="18"/>
                <w:szCs w:val="18"/>
                <w:color w:val="auto"/>
              </w:rPr>
              <w:t>Amylyx Pharmaceuticals, Inc.</w:t>
            </w:r>
          </w:p>
        </w:tc>
        <w:tc>
          <w:tcPr>
            <w:tcW w:w="2120" w:type="dxa"/>
            <w:vAlign w:val="bottom"/>
            <w:gridSpan w:val="6"/>
            <w:shd w:val="clear" w:color="auto" w:fill="CCEEFF"/>
          </w:tcPr>
          <w:p>
            <w:pPr>
              <w:jc w:val="right"/>
              <w:spacing w:after="0" w:line="169" w:lineRule="exact"/>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b w:val="1"/>
                <w:bCs w:val="1"/>
                <w:u w:val="single" w:color="auto"/>
                <w:color w:val="auto"/>
              </w:rPr>
              <w:t>7</w:t>
            </w:r>
          </w:p>
        </w:tc>
        <w:tc>
          <w:tcPr>
            <w:tcW w:w="18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right"/>
              <w:ind w:right="80"/>
              <w:spacing w:after="0" w:line="169" w:lineRule="exact"/>
              <w:rPr>
                <w:sz w:val="20"/>
                <w:szCs w:val="20"/>
                <w:color w:val="auto"/>
              </w:rPr>
            </w:pPr>
            <w:r>
              <w:rPr>
                <w:rFonts w:ascii="Arial" w:cs="Arial" w:eastAsia="Arial" w:hAnsi="Arial"/>
                <w:sz w:val="18"/>
                <w:szCs w:val="18"/>
                <w:color w:val="auto"/>
              </w:rPr>
              <w:t>1.7x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080" w:type="dxa"/>
            <w:vAlign w:val="bottom"/>
            <w:tcBorders>
              <w:top w:val="single" w:sz="8" w:color="CCEEFF"/>
              <w:bottom w:val="single" w:sz="8" w:color="CCEEFF"/>
            </w:tcBorders>
            <w:vMerge w:val="restart"/>
          </w:tcPr>
          <w:p>
            <w:pPr>
              <w:spacing w:after="0" w:line="196" w:lineRule="exact"/>
              <w:rPr>
                <w:sz w:val="20"/>
                <w:szCs w:val="20"/>
                <w:color w:val="auto"/>
              </w:rPr>
            </w:pPr>
            <w:r>
              <w:rPr>
                <w:rFonts w:ascii="Arial" w:cs="Arial" w:eastAsia="Arial" w:hAnsi="Arial"/>
                <w:sz w:val="18"/>
                <w:szCs w:val="18"/>
                <w:color w:val="auto"/>
                <w:w w:val="89"/>
              </w:rPr>
              <w:t>Apellis Pharmaceuticals, Inc.</w:t>
            </w:r>
          </w:p>
        </w:tc>
        <w:tc>
          <w:tcPr>
            <w:tcW w:w="180" w:type="dxa"/>
            <w:vAlign w:val="bottom"/>
            <w:tcBorders>
              <w:top w:val="single" w:sz="8" w:color="CCEEFF"/>
              <w:bottom w:val="single" w:sz="8" w:color="auto"/>
            </w:tcBorders>
            <w:gridSpan w:val="2"/>
          </w:tcPr>
          <w:p>
            <w:pPr>
              <w:jc w:val="right"/>
              <w:spacing w:after="0" w:line="136" w:lineRule="exact"/>
              <w:rPr>
                <w:sz w:val="20"/>
                <w:szCs w:val="20"/>
                <w:color w:val="auto"/>
              </w:rPr>
            </w:pPr>
            <w:r>
              <w:rPr>
                <w:rFonts w:ascii="Arial" w:cs="Arial" w:eastAsia="Arial" w:hAnsi="Arial"/>
                <w:sz w:val="15"/>
                <w:szCs w:val="15"/>
                <w:b w:val="1"/>
                <w:bCs w:val="1"/>
                <w:color w:val="auto"/>
                <w:w w:val="87"/>
              </w:rPr>
              <w:t>(1)</w:t>
            </w:r>
          </w:p>
        </w:tc>
        <w:tc>
          <w:tcPr>
            <w:tcW w:w="20" w:type="dxa"/>
            <w:vAlign w:val="bottom"/>
            <w:tcBorders>
              <w:top w:val="single" w:sz="8" w:color="CCEEFF"/>
              <w:bottom w:val="single" w:sz="8" w:color="CCEEFF"/>
            </w:tcBorders>
            <w:vMerge w:val="restart"/>
          </w:tcPr>
          <w:p>
            <w:pPr>
              <w:spacing w:after="0"/>
              <w:rPr>
                <w:sz w:val="13"/>
                <w:szCs w:val="13"/>
                <w:color w:val="auto"/>
              </w:rPr>
            </w:pPr>
          </w:p>
        </w:tc>
        <w:tc>
          <w:tcPr>
            <w:tcW w:w="2580" w:type="dxa"/>
            <w:vAlign w:val="bottom"/>
            <w:tcBorders>
              <w:top w:val="single" w:sz="8" w:color="CCEEFF"/>
              <w:bottom w:val="single" w:sz="8" w:color="CCEEFF"/>
            </w:tcBorders>
            <w:vMerge w:val="restart"/>
          </w:tcPr>
          <w:p>
            <w:pPr>
              <w:spacing w:after="0"/>
              <w:rPr>
                <w:sz w:val="13"/>
                <w:szCs w:val="13"/>
                <w:color w:val="auto"/>
              </w:rPr>
            </w:pPr>
          </w:p>
        </w:tc>
        <w:tc>
          <w:tcPr>
            <w:tcW w:w="1880" w:type="dxa"/>
            <w:vAlign w:val="bottom"/>
            <w:tcBorders>
              <w:top w:val="single" w:sz="8" w:color="CCEEFF"/>
            </w:tcBorders>
            <w:gridSpan w:val="3"/>
          </w:tcPr>
          <w:p>
            <w:pPr>
              <w:spacing w:after="0"/>
              <w:rPr>
                <w:sz w:val="13"/>
                <w:szCs w:val="13"/>
                <w:color w:val="auto"/>
              </w:rPr>
            </w:pPr>
          </w:p>
        </w:tc>
        <w:tc>
          <w:tcPr>
            <w:tcW w:w="20" w:type="dxa"/>
            <w:vAlign w:val="bottom"/>
            <w:tcBorders>
              <w:top w:val="single" w:sz="8" w:color="auto"/>
              <w:bottom w:val="single" w:sz="8" w:color="auto"/>
            </w:tcBorders>
            <w:vMerge w:val="restart"/>
          </w:tcPr>
          <w:p>
            <w:pPr>
              <w:spacing w:after="0"/>
              <w:rPr>
                <w:sz w:val="13"/>
                <w:szCs w:val="13"/>
                <w:color w:val="auto"/>
              </w:rPr>
            </w:pPr>
          </w:p>
        </w:tc>
        <w:tc>
          <w:tcPr>
            <w:tcW w:w="2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6"/>
                <w:szCs w:val="16"/>
                <w:b w:val="1"/>
                <w:bCs w:val="1"/>
                <w:color w:val="auto"/>
                <w:w w:val="89"/>
              </w:rPr>
              <w:t>7.</w:t>
            </w:r>
            <w:r>
              <w:rPr>
                <w:rFonts w:ascii="Arial" w:cs="Arial" w:eastAsia="Arial" w:hAnsi="Arial"/>
                <w:sz w:val="16"/>
                <w:szCs w:val="16"/>
                <w:b w:val="1"/>
                <w:bCs w:val="1"/>
                <w:u w:val="single" w:color="auto"/>
                <w:color w:val="auto"/>
                <w:w w:val="89"/>
              </w:rPr>
              <w:t>5</w:t>
            </w:r>
          </w:p>
        </w:tc>
        <w:tc>
          <w:tcPr>
            <w:tcW w:w="180" w:type="dxa"/>
            <w:vAlign w:val="bottom"/>
            <w:tcBorders>
              <w:top w:val="single" w:sz="8" w:color="CCEEFF"/>
            </w:tcBorders>
          </w:tcPr>
          <w:p>
            <w:pPr>
              <w:spacing w:after="0"/>
              <w:rPr>
                <w:sz w:val="13"/>
                <w:szCs w:val="13"/>
                <w:color w:val="auto"/>
              </w:rPr>
            </w:pPr>
          </w:p>
        </w:tc>
        <w:tc>
          <w:tcPr>
            <w:tcW w:w="2700" w:type="dxa"/>
            <w:vAlign w:val="bottom"/>
            <w:tcBorders>
              <w:top w:val="single" w:sz="8" w:color="CCEEFF"/>
              <w:bottom w:val="single" w:sz="8" w:color="CCEEFF"/>
            </w:tcBorders>
            <w:gridSpan w:val="2"/>
            <w:vMerge w:val="restart"/>
          </w:tcPr>
          <w:p>
            <w:pPr>
              <w:jc w:val="right"/>
              <w:ind w:right="80"/>
              <w:spacing w:after="0" w:line="196" w:lineRule="exact"/>
              <w:rPr>
                <w:sz w:val="20"/>
                <w:szCs w:val="20"/>
                <w:color w:val="auto"/>
              </w:rPr>
            </w:pPr>
            <w:r>
              <w:rPr>
                <w:rFonts w:ascii="Arial" w:cs="Arial" w:eastAsia="Arial" w:hAnsi="Arial"/>
                <w:sz w:val="18"/>
                <w:szCs w:val="18"/>
                <w:color w:val="auto"/>
              </w:rPr>
              <w:t>5.6x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vMerge w:val="continue"/>
          </w:tcPr>
          <w:p>
            <w:pPr>
              <w:spacing w:after="0" w:line="20" w:lineRule="exact"/>
              <w:rPr>
                <w:sz w:val="1"/>
                <w:szCs w:val="1"/>
                <w:color w:val="auto"/>
              </w:rPr>
            </w:pPr>
          </w:p>
        </w:tc>
        <w:tc>
          <w:tcPr>
            <w:tcW w:w="25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Borders>
              <w:bottom w:val="single" w:sz="8" w:color="auto"/>
            </w:tcBorders>
            <w:vMerge w:val="continue"/>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700" w:type="dxa"/>
            <w:vAlign w:val="bottom"/>
            <w:gridSpan w:val="2"/>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6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Axsome Therapeutics, Inc.</w:t>
            </w:r>
          </w:p>
        </w:tc>
        <w:tc>
          <w:tcPr>
            <w:tcW w:w="2120" w:type="dxa"/>
            <w:vAlign w:val="bottom"/>
            <w:gridSpan w:val="6"/>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b w:val="1"/>
                <w:bCs w:val="1"/>
                <w:u w:val="single" w:color="auto"/>
                <w:color w:val="auto"/>
              </w:rPr>
              <w:t>2</w:t>
            </w:r>
          </w:p>
        </w:tc>
        <w:tc>
          <w:tcPr>
            <w:tcW w:w="180" w:type="dxa"/>
            <w:vAlign w:val="bottom"/>
            <w:shd w:val="clear" w:color="auto" w:fill="CCEEFF"/>
          </w:tcPr>
          <w:p>
            <w:pPr>
              <w:spacing w:after="0"/>
              <w:rPr>
                <w:sz w:val="18"/>
                <w:szCs w:val="18"/>
                <w:color w:val="auto"/>
              </w:rPr>
            </w:pPr>
          </w:p>
        </w:tc>
        <w:tc>
          <w:tcPr>
            <w:tcW w:w="2700" w:type="dxa"/>
            <w:vAlign w:val="bottom"/>
            <w:gridSpan w:val="2"/>
            <w:shd w:val="clear" w:color="auto" w:fill="CCEEFF"/>
          </w:tcPr>
          <w:p>
            <w:pPr>
              <w:jc w:val="right"/>
              <w:ind w:right="80"/>
              <w:spacing w:after="0" w:line="176" w:lineRule="exact"/>
              <w:rPr>
                <w:sz w:val="20"/>
                <w:szCs w:val="20"/>
                <w:color w:val="auto"/>
              </w:rPr>
            </w:pPr>
            <w:r>
              <w:rPr>
                <w:rFonts w:ascii="Arial" w:cs="Arial" w:eastAsia="Arial" w:hAnsi="Arial"/>
                <w:sz w:val="18"/>
                <w:szCs w:val="18"/>
                <w:color w:val="auto"/>
              </w:rPr>
              <w:t>3.5x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60" w:type="dxa"/>
            <w:vAlign w:val="bottom"/>
            <w:tcBorders>
              <w:top w:val="single" w:sz="8" w:color="CCEEFF"/>
            </w:tcBorders>
            <w:gridSpan w:val="5"/>
          </w:tcPr>
          <w:p>
            <w:pPr>
              <w:spacing w:after="0" w:line="156" w:lineRule="exact"/>
              <w:rPr>
                <w:sz w:val="20"/>
                <w:szCs w:val="20"/>
                <w:color w:val="auto"/>
              </w:rPr>
            </w:pPr>
            <w:r>
              <w:rPr>
                <w:rFonts w:ascii="Arial" w:cs="Arial" w:eastAsia="Arial" w:hAnsi="Arial"/>
                <w:sz w:val="18"/>
                <w:szCs w:val="18"/>
                <w:color w:val="auto"/>
              </w:rPr>
              <w:t>Intra-Cellular Therapies, Inc.</w:t>
            </w:r>
          </w:p>
        </w:tc>
        <w:tc>
          <w:tcPr>
            <w:tcW w:w="1880" w:type="dxa"/>
            <w:vAlign w:val="bottom"/>
            <w:tcBorders>
              <w:top w:val="single" w:sz="8" w:color="CCEEFF"/>
            </w:tcBorders>
            <w:gridSpan w:val="3"/>
          </w:tcPr>
          <w:p>
            <w:pPr>
              <w:spacing w:after="0"/>
              <w:rPr>
                <w:sz w:val="13"/>
                <w:szCs w:val="13"/>
                <w:color w:val="auto"/>
              </w:rPr>
            </w:pPr>
          </w:p>
        </w:tc>
        <w:tc>
          <w:tcPr>
            <w:tcW w:w="240" w:type="dxa"/>
            <w:vAlign w:val="bottom"/>
            <w:tcBorders>
              <w:top w:val="single" w:sz="8" w:color="auto"/>
            </w:tcBorders>
            <w:gridSpan w:val="3"/>
          </w:tcPr>
          <w:p>
            <w:pPr>
              <w:jc w:val="right"/>
              <w:spacing w:after="0" w:line="156" w:lineRule="exact"/>
              <w:rPr>
                <w:sz w:val="20"/>
                <w:szCs w:val="20"/>
                <w:color w:val="auto"/>
              </w:rPr>
            </w:pPr>
            <w:r>
              <w:rPr>
                <w:rFonts w:ascii="Arial" w:cs="Arial" w:eastAsia="Arial" w:hAnsi="Arial"/>
                <w:sz w:val="18"/>
                <w:szCs w:val="18"/>
                <w:b w:val="1"/>
                <w:bCs w:val="1"/>
                <w:color w:val="auto"/>
                <w:w w:val="87"/>
              </w:rPr>
              <w:t>5.</w:t>
            </w:r>
            <w:r>
              <w:rPr>
                <w:rFonts w:ascii="Arial" w:cs="Arial" w:eastAsia="Arial" w:hAnsi="Arial"/>
                <w:sz w:val="18"/>
                <w:szCs w:val="18"/>
                <w:b w:val="1"/>
                <w:bCs w:val="1"/>
                <w:u w:val="single" w:color="auto"/>
                <w:color w:val="auto"/>
                <w:w w:val="87"/>
              </w:rPr>
              <w:t>6</w:t>
            </w:r>
          </w:p>
        </w:tc>
        <w:tc>
          <w:tcPr>
            <w:tcW w:w="180" w:type="dxa"/>
            <w:vAlign w:val="bottom"/>
            <w:tcBorders>
              <w:top w:val="single" w:sz="8" w:color="CCEEFF"/>
            </w:tcBorders>
          </w:tcPr>
          <w:p>
            <w:pPr>
              <w:spacing w:after="0"/>
              <w:rPr>
                <w:sz w:val="13"/>
                <w:szCs w:val="13"/>
                <w:color w:val="auto"/>
              </w:rPr>
            </w:pPr>
          </w:p>
        </w:tc>
        <w:tc>
          <w:tcPr>
            <w:tcW w:w="2700" w:type="dxa"/>
            <w:vAlign w:val="bottom"/>
            <w:tcBorders>
              <w:top w:val="single" w:sz="8" w:color="CCEEFF"/>
            </w:tcBorders>
            <w:gridSpan w:val="2"/>
          </w:tcPr>
          <w:p>
            <w:pPr>
              <w:jc w:val="right"/>
              <w:ind w:right="80"/>
              <w:spacing w:after="0" w:line="156" w:lineRule="exact"/>
              <w:rPr>
                <w:sz w:val="20"/>
                <w:szCs w:val="20"/>
                <w:color w:val="auto"/>
              </w:rPr>
            </w:pPr>
            <w:r>
              <w:rPr>
                <w:rFonts w:ascii="Arial" w:cs="Arial" w:eastAsia="Arial" w:hAnsi="Arial"/>
                <w:sz w:val="18"/>
                <w:szCs w:val="18"/>
                <w:color w:val="auto"/>
              </w:rPr>
              <w:t>4.4x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tcBorders>
              <w:bottom w:val="single" w:sz="8" w:color="CCEEFF"/>
            </w:tcBorders>
            <w:gridSpan w:val="5"/>
            <w:shd w:val="clear" w:color="auto" w:fill="CCEEFF"/>
          </w:tcPr>
          <w:p>
            <w:pPr>
              <w:spacing w:after="0" w:line="156" w:lineRule="exact"/>
              <w:rPr>
                <w:sz w:val="20"/>
                <w:szCs w:val="20"/>
                <w:color w:val="auto"/>
              </w:rPr>
            </w:pPr>
            <w:r>
              <w:rPr>
                <w:rFonts w:ascii="Arial" w:cs="Arial" w:eastAsia="Arial" w:hAnsi="Arial"/>
                <w:sz w:val="18"/>
                <w:szCs w:val="18"/>
                <w:color w:val="auto"/>
              </w:rPr>
              <w:t>Karuna Therapeutics, Inc.</w:t>
            </w:r>
          </w:p>
        </w:tc>
        <w:tc>
          <w:tcPr>
            <w:tcW w:w="1880" w:type="dxa"/>
            <w:vAlign w:val="bottom"/>
            <w:tcBorders>
              <w:bottom w:val="single" w:sz="8" w:color="CCEEFF"/>
            </w:tcBorders>
            <w:gridSpan w:val="3"/>
            <w:shd w:val="clear" w:color="auto" w:fill="CCEEFF"/>
          </w:tcPr>
          <w:p>
            <w:pPr>
              <w:spacing w:after="0"/>
              <w:rPr>
                <w:sz w:val="17"/>
                <w:szCs w:val="17"/>
                <w:color w:val="auto"/>
              </w:rPr>
            </w:pPr>
          </w:p>
        </w:tc>
        <w:tc>
          <w:tcPr>
            <w:tcW w:w="240" w:type="dxa"/>
            <w:vAlign w:val="bottom"/>
            <w:tcBorders>
              <w:bottom w:val="single" w:sz="8" w:color="auto"/>
            </w:tcBorders>
            <w:gridSpan w:val="3"/>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87"/>
              </w:rPr>
              <w:t>6.</w:t>
            </w:r>
            <w:r>
              <w:rPr>
                <w:rFonts w:ascii="Arial" w:cs="Arial" w:eastAsia="Arial" w:hAnsi="Arial"/>
                <w:sz w:val="18"/>
                <w:szCs w:val="18"/>
                <w:b w:val="1"/>
                <w:bCs w:val="1"/>
                <w:u w:val="single" w:color="auto"/>
                <w:color w:val="auto"/>
                <w:w w:val="87"/>
              </w:rPr>
              <w:t>3</w:t>
            </w:r>
          </w:p>
        </w:tc>
        <w:tc>
          <w:tcPr>
            <w:tcW w:w="180" w:type="dxa"/>
            <w:vAlign w:val="bottom"/>
            <w:tcBorders>
              <w:bottom w:val="single" w:sz="8" w:color="CCEEFF"/>
            </w:tcBorders>
            <w:shd w:val="clear" w:color="auto" w:fill="CCEEFF"/>
          </w:tcPr>
          <w:p>
            <w:pPr>
              <w:spacing w:after="0"/>
              <w:rPr>
                <w:sz w:val="17"/>
                <w:szCs w:val="17"/>
                <w:color w:val="auto"/>
              </w:rPr>
            </w:pPr>
          </w:p>
        </w:tc>
        <w:tc>
          <w:tcPr>
            <w:tcW w:w="2700" w:type="dxa"/>
            <w:vAlign w:val="bottom"/>
            <w:tcBorders>
              <w:bottom w:val="single" w:sz="8" w:color="CCEEFF"/>
            </w:tcBorders>
            <w:gridSpan w:val="2"/>
            <w:shd w:val="clear" w:color="auto" w:fill="CCEEFF"/>
          </w:tcPr>
          <w:p>
            <w:pPr>
              <w:jc w:val="right"/>
              <w:ind w:right="80"/>
              <w:spacing w:after="0" w:line="156" w:lineRule="exact"/>
              <w:rPr>
                <w:sz w:val="20"/>
                <w:szCs w:val="20"/>
                <w:color w:val="auto"/>
              </w:rPr>
            </w:pPr>
            <w:r>
              <w:rPr>
                <w:rFonts w:ascii="Arial" w:cs="Arial" w:eastAsia="Arial" w:hAnsi="Arial"/>
                <w:sz w:val="18"/>
                <w:szCs w:val="18"/>
                <w:color w:val="auto"/>
              </w:rPr>
              <w:t>10.8x</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60" w:type="dxa"/>
            <w:vAlign w:val="bottom"/>
            <w:gridSpan w:val="5"/>
          </w:tcPr>
          <w:p>
            <w:pPr>
              <w:spacing w:after="0" w:line="156" w:lineRule="exact"/>
              <w:rPr>
                <w:sz w:val="20"/>
                <w:szCs w:val="20"/>
                <w:color w:val="auto"/>
              </w:rPr>
            </w:pPr>
            <w:r>
              <w:rPr>
                <w:rFonts w:ascii="Arial" w:cs="Arial" w:eastAsia="Arial" w:hAnsi="Arial"/>
                <w:sz w:val="18"/>
                <w:szCs w:val="18"/>
                <w:color w:val="auto"/>
              </w:rPr>
              <w:t>Reata Pharmaceuticals, Inc.</w:t>
            </w:r>
          </w:p>
        </w:tc>
        <w:tc>
          <w:tcPr>
            <w:tcW w:w="1880" w:type="dxa"/>
            <w:vAlign w:val="bottom"/>
            <w:gridSpan w:val="3"/>
          </w:tcPr>
          <w:p>
            <w:pPr>
              <w:spacing w:after="0"/>
              <w:rPr>
                <w:sz w:val="13"/>
                <w:szCs w:val="13"/>
                <w:color w:val="auto"/>
              </w:rPr>
            </w:pPr>
          </w:p>
        </w:tc>
        <w:tc>
          <w:tcPr>
            <w:tcW w:w="240" w:type="dxa"/>
            <w:vAlign w:val="bottom"/>
            <w:gridSpan w:val="3"/>
          </w:tcPr>
          <w:p>
            <w:pPr>
              <w:jc w:val="right"/>
              <w:spacing w:after="0" w:line="156" w:lineRule="exact"/>
              <w:rPr>
                <w:sz w:val="20"/>
                <w:szCs w:val="20"/>
                <w:color w:val="auto"/>
              </w:rPr>
            </w:pPr>
            <w:r>
              <w:rPr>
                <w:rFonts w:ascii="Arial" w:cs="Arial" w:eastAsia="Arial" w:hAnsi="Arial"/>
                <w:sz w:val="18"/>
                <w:szCs w:val="18"/>
                <w:b w:val="1"/>
                <w:bCs w:val="1"/>
                <w:color w:val="auto"/>
                <w:w w:val="87"/>
              </w:rPr>
              <w:t>3.</w:t>
            </w:r>
            <w:r>
              <w:rPr>
                <w:rFonts w:ascii="Arial" w:cs="Arial" w:eastAsia="Arial" w:hAnsi="Arial"/>
                <w:sz w:val="18"/>
                <w:szCs w:val="18"/>
                <w:b w:val="1"/>
                <w:bCs w:val="1"/>
                <w:u w:val="single" w:color="auto"/>
                <w:color w:val="auto"/>
                <w:w w:val="87"/>
              </w:rPr>
              <w:t>5</w:t>
            </w:r>
          </w:p>
        </w:tc>
        <w:tc>
          <w:tcPr>
            <w:tcW w:w="180" w:type="dxa"/>
            <w:vAlign w:val="bottom"/>
          </w:tcPr>
          <w:p>
            <w:pPr>
              <w:spacing w:after="0"/>
              <w:rPr>
                <w:sz w:val="13"/>
                <w:szCs w:val="13"/>
                <w:color w:val="auto"/>
              </w:rPr>
            </w:pPr>
          </w:p>
        </w:tc>
        <w:tc>
          <w:tcPr>
            <w:tcW w:w="2700" w:type="dxa"/>
            <w:vAlign w:val="bottom"/>
            <w:gridSpan w:val="2"/>
          </w:tcPr>
          <w:p>
            <w:pPr>
              <w:jc w:val="right"/>
              <w:ind w:right="80"/>
              <w:spacing w:after="0" w:line="156" w:lineRule="exact"/>
              <w:rPr>
                <w:sz w:val="20"/>
                <w:szCs w:val="20"/>
                <w:color w:val="auto"/>
              </w:rPr>
            </w:pPr>
            <w:r>
              <w:rPr>
                <w:rFonts w:ascii="Arial" w:cs="Arial" w:eastAsia="Arial" w:hAnsi="Arial"/>
                <w:sz w:val="18"/>
                <w:szCs w:val="18"/>
                <w:color w:val="auto"/>
              </w:rPr>
              <w:t>5.0x</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60" w:type="dxa"/>
            <w:vAlign w:val="bottom"/>
            <w:tcBorders>
              <w:bottom w:val="single" w:sz="8" w:color="CCEEFF"/>
            </w:tcBorders>
            <w:gridSpan w:val="5"/>
            <w:shd w:val="clear" w:color="auto" w:fill="CCEEFF"/>
          </w:tcPr>
          <w:p>
            <w:pPr>
              <w:spacing w:after="0" w:line="156" w:lineRule="exact"/>
              <w:rPr>
                <w:sz w:val="20"/>
                <w:szCs w:val="20"/>
                <w:color w:val="auto"/>
              </w:rPr>
            </w:pPr>
            <w:r>
              <w:rPr>
                <w:rFonts w:ascii="Arial" w:cs="Arial" w:eastAsia="Arial" w:hAnsi="Arial"/>
                <w:sz w:val="18"/>
                <w:szCs w:val="18"/>
                <w:color w:val="auto"/>
              </w:rPr>
              <w:t>Sage Therapeutics, Inc.</w:t>
            </w:r>
          </w:p>
        </w:tc>
        <w:tc>
          <w:tcPr>
            <w:tcW w:w="1880" w:type="dxa"/>
            <w:vAlign w:val="bottom"/>
            <w:tcBorders>
              <w:bottom w:val="single" w:sz="8" w:color="CCEEFF"/>
            </w:tcBorders>
            <w:gridSpan w:val="3"/>
            <w:shd w:val="clear" w:color="auto" w:fill="CCEEFF"/>
          </w:tcPr>
          <w:p>
            <w:pPr>
              <w:spacing w:after="0"/>
              <w:rPr>
                <w:sz w:val="17"/>
                <w:szCs w:val="17"/>
                <w:color w:val="auto"/>
              </w:rPr>
            </w:pPr>
          </w:p>
        </w:tc>
        <w:tc>
          <w:tcPr>
            <w:tcW w:w="240" w:type="dxa"/>
            <w:vAlign w:val="bottom"/>
            <w:tcBorders>
              <w:bottom w:val="single" w:sz="8" w:color="auto"/>
            </w:tcBorders>
            <w:gridSpan w:val="3"/>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87"/>
              </w:rPr>
              <w:t>1.</w:t>
            </w:r>
            <w:r>
              <w:rPr>
                <w:rFonts w:ascii="Arial" w:cs="Arial" w:eastAsia="Arial" w:hAnsi="Arial"/>
                <w:sz w:val="18"/>
                <w:szCs w:val="18"/>
                <w:b w:val="1"/>
                <w:bCs w:val="1"/>
                <w:u w:val="single" w:color="auto"/>
                <w:color w:val="auto"/>
                <w:w w:val="87"/>
              </w:rPr>
              <w:t>7</w:t>
            </w:r>
          </w:p>
        </w:tc>
        <w:tc>
          <w:tcPr>
            <w:tcW w:w="180" w:type="dxa"/>
            <w:vAlign w:val="bottom"/>
            <w:tcBorders>
              <w:bottom w:val="single" w:sz="8" w:color="CCEEFF"/>
            </w:tcBorders>
            <w:shd w:val="clear" w:color="auto" w:fill="CCEEFF"/>
          </w:tcPr>
          <w:p>
            <w:pPr>
              <w:spacing w:after="0"/>
              <w:rPr>
                <w:sz w:val="17"/>
                <w:szCs w:val="17"/>
                <w:color w:val="auto"/>
              </w:rPr>
            </w:pPr>
          </w:p>
        </w:tc>
        <w:tc>
          <w:tcPr>
            <w:tcW w:w="2700" w:type="dxa"/>
            <w:vAlign w:val="bottom"/>
            <w:tcBorders>
              <w:bottom w:val="single" w:sz="8" w:color="CCEEFF"/>
            </w:tcBorders>
            <w:gridSpan w:val="2"/>
            <w:shd w:val="clear" w:color="auto" w:fill="CCEEFF"/>
          </w:tcPr>
          <w:p>
            <w:pPr>
              <w:jc w:val="right"/>
              <w:ind w:right="80"/>
              <w:spacing w:after="0" w:line="156" w:lineRule="exact"/>
              <w:rPr>
                <w:sz w:val="20"/>
                <w:szCs w:val="20"/>
                <w:color w:val="auto"/>
              </w:rPr>
            </w:pPr>
            <w:r>
              <w:rPr>
                <w:rFonts w:ascii="Arial" w:cs="Arial" w:eastAsia="Arial" w:hAnsi="Arial"/>
                <w:sz w:val="18"/>
                <w:szCs w:val="18"/>
                <w:color w:val="auto"/>
              </w:rPr>
              <w:t>4.4x</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860" w:type="dxa"/>
            <w:vAlign w:val="bottom"/>
            <w:gridSpan w:val="5"/>
          </w:tcPr>
          <w:p>
            <w:pPr>
              <w:spacing w:after="0"/>
              <w:rPr>
                <w:sz w:val="20"/>
                <w:szCs w:val="20"/>
                <w:color w:val="auto"/>
              </w:rPr>
            </w:pPr>
            <w:r>
              <w:rPr>
                <w:rFonts w:ascii="Arial" w:cs="Arial" w:eastAsia="Arial" w:hAnsi="Arial"/>
                <w:sz w:val="18"/>
                <w:szCs w:val="18"/>
                <w:b w:val="1"/>
                <w:bCs w:val="1"/>
                <w:color w:val="auto"/>
              </w:rPr>
              <w:t>Median</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4.4x</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(1) Apellis metrics are as of March 31, 2023 to reflect unaffected date prior to Apellis takeover interest rumors on April 2, 2023.</w:t>
      </w:r>
    </w:p>
    <w:p>
      <w:pPr>
        <w:spacing w:after="0" w:line="229"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i w:val="1"/>
          <w:iCs w:val="1"/>
          <w:color w:val="auto"/>
        </w:rPr>
        <w:t>The disclosure under the section entitled “The Merger — Opinion of IVERIC’s Financial Advisors — Opinion of BofA Securities, Inc.” is hereby amended and supplemented by adding the following bolded and double underlined language to the first table on page 53 of the Definitive Proxy Statement: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EV / PoS</w:t>
            </w:r>
          </w:p>
        </w:tc>
        <w:tc>
          <w:tcPr>
            <w:tcW w:w="0" w:type="dxa"/>
            <w:vAlign w:val="bottom"/>
          </w:tcPr>
          <w:p>
            <w:pPr>
              <w:spacing w:after="0"/>
              <w:rPr>
                <w:sz w:val="1"/>
                <w:szCs w:val="1"/>
                <w:color w:val="auto"/>
              </w:rPr>
            </w:pPr>
          </w:p>
        </w:tc>
      </w:tr>
      <w:tr>
        <w:trPr>
          <w:trHeight w:val="194"/>
        </w:trPr>
        <w:tc>
          <w:tcPr>
            <w:tcW w:w="1260" w:type="dxa"/>
            <w:vAlign w:val="bottom"/>
          </w:tcPr>
          <w:p>
            <w:pPr>
              <w:ind w:left="440"/>
              <w:spacing w:after="0" w:line="194" w:lineRule="exact"/>
              <w:rPr>
                <w:sz w:val="20"/>
                <w:szCs w:val="20"/>
                <w:color w:val="auto"/>
              </w:rPr>
            </w:pPr>
            <w:r>
              <w:rPr>
                <w:rFonts w:ascii="Arial" w:cs="Arial" w:eastAsia="Arial" w:hAnsi="Arial"/>
                <w:sz w:val="18"/>
                <w:szCs w:val="18"/>
                <w:b w:val="1"/>
                <w:bCs w:val="1"/>
                <w:color w:val="auto"/>
              </w:rPr>
              <w:t>Date</w:t>
            </w:r>
          </w:p>
        </w:tc>
        <w:tc>
          <w:tcPr>
            <w:tcW w:w="20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gridSpan w:val="6"/>
          </w:tcPr>
          <w:p>
            <w:pPr>
              <w:spacing w:after="0" w:line="194" w:lineRule="exact"/>
              <w:rPr>
                <w:sz w:val="20"/>
                <w:szCs w:val="20"/>
                <w:color w:val="auto"/>
              </w:rPr>
            </w:pPr>
            <w:r>
              <w:rPr>
                <w:rFonts w:ascii="Arial" w:cs="Arial" w:eastAsia="Arial" w:hAnsi="Arial"/>
                <w:sz w:val="18"/>
                <w:szCs w:val="18"/>
                <w:b w:val="1"/>
                <w:bCs w:val="1"/>
                <w:color w:val="auto"/>
              </w:rPr>
              <w:t>Enterprise</w:t>
            </w:r>
          </w:p>
        </w:tc>
        <w:tc>
          <w:tcPr>
            <w:tcW w:w="1460" w:type="dxa"/>
            <w:vAlign w:val="bottom"/>
            <w:gridSpan w:val="2"/>
          </w:tcPr>
          <w:p>
            <w:pPr>
              <w:jc w:val="center"/>
              <w:ind w:right="100"/>
              <w:spacing w:after="0" w:line="194" w:lineRule="exact"/>
              <w:rPr>
                <w:sz w:val="20"/>
                <w:szCs w:val="20"/>
                <w:color w:val="auto"/>
              </w:rPr>
            </w:pPr>
            <w:r>
              <w:rPr>
                <w:rFonts w:ascii="Arial" w:cs="Arial" w:eastAsia="Arial" w:hAnsi="Arial"/>
                <w:sz w:val="18"/>
                <w:szCs w:val="18"/>
                <w:b w:val="1"/>
                <w:bCs w:val="1"/>
                <w:color w:val="auto"/>
                <w:w w:val="94"/>
              </w:rPr>
              <w:t>Adjusted CY+3</w:t>
            </w:r>
          </w:p>
        </w:tc>
        <w:tc>
          <w:tcPr>
            <w:tcW w:w="0" w:type="dxa"/>
            <w:vAlign w:val="bottom"/>
          </w:tcPr>
          <w:p>
            <w:pPr>
              <w:spacing w:after="0"/>
              <w:rPr>
                <w:sz w:val="1"/>
                <w:szCs w:val="1"/>
                <w:color w:val="auto"/>
              </w:rPr>
            </w:pPr>
          </w:p>
        </w:tc>
      </w:tr>
      <w:tr>
        <w:trPr>
          <w:trHeight w:val="20"/>
        </w:trPr>
        <w:tc>
          <w:tcPr>
            <w:tcW w:w="1260" w:type="dxa"/>
            <w:vAlign w:val="bottom"/>
            <w:vMerge w:val="restart"/>
          </w:tcPr>
          <w:p>
            <w:pPr>
              <w:ind w:left="180"/>
              <w:spacing w:after="0" w:line="196" w:lineRule="exact"/>
              <w:rPr>
                <w:sz w:val="20"/>
                <w:szCs w:val="20"/>
                <w:color w:val="auto"/>
              </w:rPr>
            </w:pPr>
            <w:r>
              <w:rPr>
                <w:rFonts w:ascii="Arial" w:cs="Arial" w:eastAsia="Arial" w:hAnsi="Arial"/>
                <w:sz w:val="18"/>
                <w:szCs w:val="18"/>
                <w:b w:val="1"/>
                <w:bCs w:val="1"/>
                <w:color w:val="auto"/>
              </w:rPr>
              <w:t>Announced</w:t>
            </w:r>
          </w:p>
        </w:tc>
        <w:tc>
          <w:tcPr>
            <w:tcW w:w="200" w:type="dxa"/>
            <w:vAlign w:val="bottom"/>
          </w:tcPr>
          <w:p>
            <w:pPr>
              <w:spacing w:after="0" w:line="20" w:lineRule="exact"/>
              <w:rPr>
                <w:sz w:val="1"/>
                <w:szCs w:val="1"/>
                <w:color w:val="auto"/>
              </w:rPr>
            </w:pPr>
          </w:p>
        </w:tc>
        <w:tc>
          <w:tcPr>
            <w:tcW w:w="3160" w:type="dxa"/>
            <w:vAlign w:val="bottom"/>
            <w:vMerge w:val="restart"/>
          </w:tcPr>
          <w:p>
            <w:pPr>
              <w:ind w:left="1320"/>
              <w:spacing w:after="0" w:line="196" w:lineRule="exact"/>
              <w:rPr>
                <w:sz w:val="20"/>
                <w:szCs w:val="20"/>
                <w:color w:val="auto"/>
              </w:rPr>
            </w:pPr>
            <w:r>
              <w:rPr>
                <w:rFonts w:ascii="Arial" w:cs="Arial" w:eastAsia="Arial" w:hAnsi="Arial"/>
                <w:sz w:val="18"/>
                <w:szCs w:val="18"/>
                <w:b w:val="1"/>
                <w:bCs w:val="1"/>
                <w:color w:val="auto"/>
              </w:rPr>
              <w:t>Target</w:t>
            </w:r>
          </w:p>
        </w:tc>
        <w:tc>
          <w:tcPr>
            <w:tcW w:w="220" w:type="dxa"/>
            <w:vAlign w:val="bottom"/>
          </w:tcPr>
          <w:p>
            <w:pPr>
              <w:spacing w:after="0" w:line="20" w:lineRule="exact"/>
              <w:rPr>
                <w:sz w:val="1"/>
                <w:szCs w:val="1"/>
                <w:color w:val="auto"/>
              </w:rPr>
            </w:pPr>
          </w:p>
        </w:tc>
        <w:tc>
          <w:tcPr>
            <w:tcW w:w="3140" w:type="dxa"/>
            <w:vAlign w:val="bottom"/>
            <w:vMerge w:val="restart"/>
          </w:tcPr>
          <w:p>
            <w:pPr>
              <w:ind w:left="1220"/>
              <w:spacing w:after="0" w:line="196" w:lineRule="exact"/>
              <w:rPr>
                <w:sz w:val="20"/>
                <w:szCs w:val="20"/>
                <w:color w:val="auto"/>
              </w:rPr>
            </w:pPr>
            <w:r>
              <w:rPr>
                <w:rFonts w:ascii="Arial" w:cs="Arial" w:eastAsia="Arial" w:hAnsi="Arial"/>
                <w:sz w:val="18"/>
                <w:szCs w:val="18"/>
                <w:b w:val="1"/>
                <w:bCs w:val="1"/>
                <w:color w:val="auto"/>
              </w:rPr>
              <w:t>Acquiror</w:t>
            </w:r>
          </w:p>
        </w:tc>
        <w:tc>
          <w:tcPr>
            <w:tcW w:w="2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60" w:type="dxa"/>
            <w:vAlign w:val="bottom"/>
            <w:gridSpan w:val="2"/>
            <w:vMerge w:val="restart"/>
          </w:tcPr>
          <w:p>
            <w:pPr>
              <w:jc w:val="center"/>
              <w:ind w:right="120"/>
              <w:spacing w:after="0" w:line="196" w:lineRule="exact"/>
              <w:rPr>
                <w:sz w:val="20"/>
                <w:szCs w:val="20"/>
                <w:color w:val="auto"/>
              </w:rPr>
            </w:pPr>
            <w:r>
              <w:rPr>
                <w:rFonts w:ascii="Arial" w:cs="Arial" w:eastAsia="Arial" w:hAnsi="Arial"/>
                <w:sz w:val="18"/>
                <w:szCs w:val="18"/>
                <w:b w:val="1"/>
                <w:bCs w:val="1"/>
                <w:color w:val="auto"/>
                <w:w w:val="87"/>
              </w:rPr>
              <w:t>Revenue</w:t>
            </w:r>
          </w:p>
        </w:tc>
        <w:tc>
          <w:tcPr>
            <w:tcW w:w="0" w:type="dxa"/>
            <w:vAlign w:val="bottom"/>
          </w:tcPr>
          <w:p>
            <w:pPr>
              <w:spacing w:after="0"/>
              <w:rPr>
                <w:sz w:val="1"/>
                <w:szCs w:val="1"/>
                <w:color w:val="auto"/>
              </w:rPr>
            </w:pPr>
          </w:p>
        </w:tc>
      </w:tr>
      <w:tr>
        <w:trPr>
          <w:trHeight w:val="155"/>
        </w:trPr>
        <w:tc>
          <w:tcPr>
            <w:tcW w:w="12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316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314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40" w:type="dxa"/>
            <w:vAlign w:val="bottom"/>
            <w:tcBorders>
              <w:bottom w:val="single" w:sz="8" w:color="auto"/>
            </w:tcBorders>
            <w:vMerge w:val="continue"/>
          </w:tcPr>
          <w:p>
            <w:pPr>
              <w:spacing w:after="0"/>
              <w:rPr>
                <w:sz w:val="13"/>
                <w:szCs w:val="13"/>
                <w:color w:val="auto"/>
              </w:rPr>
            </w:pPr>
          </w:p>
        </w:tc>
        <w:tc>
          <w:tcPr>
            <w:tcW w:w="820" w:type="dxa"/>
            <w:vAlign w:val="bottom"/>
            <w:tcBorders>
              <w:bottom w:val="single" w:sz="8" w:color="auto"/>
            </w:tcBorders>
          </w:tcPr>
          <w:p>
            <w:pPr>
              <w:spacing w:after="0" w:line="156" w:lineRule="exact"/>
              <w:rPr>
                <w:sz w:val="20"/>
                <w:szCs w:val="20"/>
                <w:color w:val="auto"/>
              </w:rPr>
            </w:pPr>
            <w:r>
              <w:rPr>
                <w:rFonts w:ascii="Arial" w:cs="Arial" w:eastAsia="Arial" w:hAnsi="Arial"/>
                <w:sz w:val="18"/>
                <w:szCs w:val="18"/>
                <w:b w:val="1"/>
                <w:bCs w:val="1"/>
                <w:color w:val="auto"/>
                <w:w w:val="82"/>
              </w:rPr>
              <w:t xml:space="preserve">Value </w:t>
            </w:r>
            <w:r>
              <w:rPr>
                <w:rFonts w:ascii="Arial" w:cs="Arial" w:eastAsia="Arial" w:hAnsi="Arial"/>
                <w:sz w:val="18"/>
                <w:szCs w:val="18"/>
                <w:b w:val="1"/>
                <w:bCs w:val="1"/>
                <w:u w:val="single" w:color="auto"/>
                <w:color w:val="auto"/>
                <w:w w:val="82"/>
              </w:rPr>
              <w:t>($</w:t>
            </w:r>
            <w:r>
              <w:rPr>
                <w:rFonts w:ascii="Arial" w:cs="Arial" w:eastAsia="Arial" w:hAnsi="Arial"/>
                <w:sz w:val="18"/>
                <w:szCs w:val="18"/>
                <w:b w:val="1"/>
                <w:bCs w:val="1"/>
                <w:color w:val="auto"/>
                <w:w w:val="82"/>
              </w:rPr>
              <w:t>bn)</w:t>
            </w:r>
          </w:p>
        </w:tc>
        <w:tc>
          <w:tcPr>
            <w:tcW w:w="20" w:type="dxa"/>
            <w:vAlign w:val="bottom"/>
            <w:tcBorders>
              <w:bottom w:val="single" w:sz="8" w:color="auto"/>
            </w:tcBorders>
            <w:vMerge w:val="continue"/>
          </w:tcPr>
          <w:p>
            <w:pPr>
              <w:spacing w:after="0"/>
              <w:rPr>
                <w:sz w:val="13"/>
                <w:szCs w:val="13"/>
                <w:color w:val="auto"/>
              </w:rPr>
            </w:pPr>
          </w:p>
        </w:tc>
        <w:tc>
          <w:tcPr>
            <w:tcW w:w="20" w:type="dxa"/>
            <w:vAlign w:val="bottom"/>
            <w:tcBorders>
              <w:bottom w:val="single" w:sz="8" w:color="auto"/>
            </w:tcBorders>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126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03/13/23</w:t>
            </w:r>
          </w:p>
        </w:tc>
        <w:tc>
          <w:tcPr>
            <w:tcW w:w="20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Provention Bio, Inc.</w:t>
            </w:r>
          </w:p>
        </w:tc>
        <w:tc>
          <w:tcPr>
            <w:tcW w:w="3360" w:type="dxa"/>
            <w:vAlign w:val="bottom"/>
            <w:gridSpan w:val="2"/>
            <w:shd w:val="clear" w:color="auto" w:fill="CCEEFF"/>
          </w:tcPr>
          <w:p>
            <w:pPr>
              <w:ind w:left="220"/>
              <w:spacing w:after="0" w:line="169" w:lineRule="exact"/>
              <w:rPr>
                <w:sz w:val="20"/>
                <w:szCs w:val="20"/>
                <w:color w:val="auto"/>
              </w:rPr>
            </w:pPr>
            <w:r>
              <w:rPr>
                <w:rFonts w:ascii="Arial" w:cs="Arial" w:eastAsia="Arial" w:hAnsi="Arial"/>
                <w:sz w:val="18"/>
                <w:szCs w:val="18"/>
                <w:color w:val="auto"/>
              </w:rPr>
              <w:t>Sanofi S.A.</w:t>
            </w:r>
          </w:p>
        </w:tc>
        <w:tc>
          <w:tcPr>
            <w:tcW w:w="1600" w:type="dxa"/>
            <w:vAlign w:val="bottom"/>
            <w:gridSpan w:val="8"/>
            <w:shd w:val="clear" w:color="auto" w:fill="CCEEFF"/>
          </w:tcPr>
          <w:p>
            <w:pPr>
              <w:jc w:val="right"/>
              <w:ind w:right="20"/>
              <w:spacing w:after="0" w:line="169" w:lineRule="exact"/>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b w:val="1"/>
                <w:bCs w:val="1"/>
                <w:u w:val="single" w:color="auto"/>
                <w:color w:val="auto"/>
              </w:rPr>
              <w:t>6</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line="169" w:lineRule="exact"/>
              <w:rPr>
                <w:sz w:val="20"/>
                <w:szCs w:val="20"/>
                <w:color w:val="auto"/>
              </w:rPr>
            </w:pPr>
            <w:r>
              <w:rPr>
                <w:rFonts w:ascii="Arial" w:cs="Arial" w:eastAsia="Arial" w:hAnsi="Arial"/>
                <w:sz w:val="18"/>
                <w:szCs w:val="18"/>
                <w:color w:val="auto"/>
              </w:rPr>
              <w:t>6.3x</w:t>
            </w:r>
          </w:p>
        </w:tc>
        <w:tc>
          <w:tcPr>
            <w:tcW w:w="0" w:type="dxa"/>
            <w:vAlign w:val="bottom"/>
          </w:tcPr>
          <w:p>
            <w:pPr>
              <w:spacing w:after="0"/>
              <w:rPr>
                <w:sz w:val="1"/>
                <w:szCs w:val="1"/>
                <w:color w:val="auto"/>
              </w:rPr>
            </w:pPr>
          </w:p>
        </w:tc>
      </w:tr>
      <w:tr>
        <w:trPr>
          <w:trHeight w:val="155"/>
        </w:trPr>
        <w:tc>
          <w:tcPr>
            <w:tcW w:w="1260" w:type="dxa"/>
            <w:vAlign w:val="bottom"/>
            <w:tcBorders>
              <w:top w:val="single" w:sz="8" w:color="CCEEFF"/>
            </w:tcBorders>
          </w:tcPr>
          <w:p>
            <w:pPr>
              <w:spacing w:after="0" w:line="156" w:lineRule="exact"/>
              <w:rPr>
                <w:sz w:val="20"/>
                <w:szCs w:val="20"/>
                <w:color w:val="auto"/>
              </w:rPr>
            </w:pPr>
            <w:r>
              <w:rPr>
                <w:rFonts w:ascii="Arial" w:cs="Arial" w:eastAsia="Arial" w:hAnsi="Arial"/>
                <w:sz w:val="18"/>
                <w:szCs w:val="18"/>
                <w:color w:val="auto"/>
              </w:rPr>
              <w:t>08/08/22</w:t>
            </w:r>
          </w:p>
        </w:tc>
        <w:tc>
          <w:tcPr>
            <w:tcW w:w="200" w:type="dxa"/>
            <w:vAlign w:val="bottom"/>
            <w:tcBorders>
              <w:top w:val="single" w:sz="8" w:color="CCEEFF"/>
            </w:tcBorders>
          </w:tcPr>
          <w:p>
            <w:pPr>
              <w:spacing w:after="0"/>
              <w:rPr>
                <w:sz w:val="13"/>
                <w:szCs w:val="13"/>
                <w:color w:val="auto"/>
              </w:rPr>
            </w:pPr>
          </w:p>
        </w:tc>
        <w:tc>
          <w:tcPr>
            <w:tcW w:w="3160" w:type="dxa"/>
            <w:vAlign w:val="bottom"/>
            <w:tcBorders>
              <w:top w:val="single" w:sz="8" w:color="CCEEFF"/>
            </w:tcBorders>
          </w:tcPr>
          <w:p>
            <w:pPr>
              <w:spacing w:after="0" w:line="156" w:lineRule="exact"/>
              <w:rPr>
                <w:sz w:val="20"/>
                <w:szCs w:val="20"/>
                <w:color w:val="auto"/>
              </w:rPr>
            </w:pPr>
            <w:r>
              <w:rPr>
                <w:rFonts w:ascii="Arial" w:cs="Arial" w:eastAsia="Arial" w:hAnsi="Arial"/>
                <w:sz w:val="18"/>
                <w:szCs w:val="18"/>
                <w:color w:val="auto"/>
              </w:rPr>
              <w:t>Global Blood Therapeutics, Inc.</w:t>
            </w:r>
          </w:p>
        </w:tc>
        <w:tc>
          <w:tcPr>
            <w:tcW w:w="3360" w:type="dxa"/>
            <w:vAlign w:val="bottom"/>
            <w:tcBorders>
              <w:top w:val="single" w:sz="8" w:color="CCEEFF"/>
            </w:tcBorders>
            <w:gridSpan w:val="2"/>
          </w:tcPr>
          <w:p>
            <w:pPr>
              <w:ind w:left="220"/>
              <w:spacing w:after="0" w:line="156" w:lineRule="exact"/>
              <w:rPr>
                <w:sz w:val="20"/>
                <w:szCs w:val="20"/>
                <w:color w:val="auto"/>
              </w:rPr>
            </w:pPr>
            <w:r>
              <w:rPr>
                <w:rFonts w:ascii="Arial" w:cs="Arial" w:eastAsia="Arial" w:hAnsi="Arial"/>
                <w:sz w:val="18"/>
                <w:szCs w:val="18"/>
                <w:color w:val="auto"/>
              </w:rPr>
              <w:t>Pfizer Inc.</w:t>
            </w:r>
          </w:p>
        </w:tc>
        <w:tc>
          <w:tcPr>
            <w:tcW w:w="1340" w:type="dxa"/>
            <w:vAlign w:val="bottom"/>
            <w:tcBorders>
              <w:top w:val="single" w:sz="8" w:color="CCEEFF"/>
            </w:tcBorders>
            <w:gridSpan w:val="5"/>
          </w:tcPr>
          <w:p>
            <w:pPr>
              <w:spacing w:after="0"/>
              <w:rPr>
                <w:sz w:val="13"/>
                <w:szCs w:val="13"/>
                <w:color w:val="auto"/>
              </w:rPr>
            </w:pPr>
          </w:p>
        </w:tc>
        <w:tc>
          <w:tcPr>
            <w:tcW w:w="240" w:type="dxa"/>
            <w:vAlign w:val="bottom"/>
            <w:tcBorders>
              <w:top w:val="single" w:sz="8" w:color="auto"/>
            </w:tcBorders>
            <w:gridSpan w:val="2"/>
          </w:tcPr>
          <w:p>
            <w:pPr>
              <w:jc w:val="right"/>
              <w:spacing w:after="0" w:line="156" w:lineRule="exact"/>
              <w:rPr>
                <w:sz w:val="20"/>
                <w:szCs w:val="20"/>
                <w:color w:val="auto"/>
              </w:rPr>
            </w:pPr>
            <w:r>
              <w:rPr>
                <w:rFonts w:ascii="Arial" w:cs="Arial" w:eastAsia="Arial" w:hAnsi="Arial"/>
                <w:sz w:val="18"/>
                <w:szCs w:val="18"/>
                <w:b w:val="1"/>
                <w:bCs w:val="1"/>
                <w:color w:val="auto"/>
                <w:w w:val="87"/>
              </w:rPr>
              <w:t>5.</w:t>
            </w:r>
            <w:r>
              <w:rPr>
                <w:rFonts w:ascii="Arial" w:cs="Arial" w:eastAsia="Arial" w:hAnsi="Arial"/>
                <w:sz w:val="18"/>
                <w:szCs w:val="18"/>
                <w:b w:val="1"/>
                <w:bCs w:val="1"/>
                <w:u w:val="single" w:color="auto"/>
                <w:color w:val="auto"/>
                <w:w w:val="87"/>
              </w:rPr>
              <w:t>4</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1460" w:type="dxa"/>
            <w:vAlign w:val="bottom"/>
            <w:tcBorders>
              <w:top w:val="single" w:sz="8" w:color="CCEEFF"/>
            </w:tcBorders>
            <w:gridSpan w:val="2"/>
          </w:tcPr>
          <w:p>
            <w:pPr>
              <w:jc w:val="right"/>
              <w:ind w:right="120"/>
              <w:spacing w:after="0" w:line="156" w:lineRule="exact"/>
              <w:rPr>
                <w:sz w:val="20"/>
                <w:szCs w:val="20"/>
                <w:color w:val="auto"/>
              </w:rPr>
            </w:pPr>
            <w:r>
              <w:rPr>
                <w:rFonts w:ascii="Arial" w:cs="Arial" w:eastAsia="Arial" w:hAnsi="Arial"/>
                <w:sz w:val="18"/>
                <w:szCs w:val="18"/>
                <w:color w:val="auto"/>
              </w:rPr>
              <w:t>7.2x</w:t>
            </w:r>
          </w:p>
        </w:tc>
        <w:tc>
          <w:tcPr>
            <w:tcW w:w="0" w:type="dxa"/>
            <w:vAlign w:val="bottom"/>
          </w:tcPr>
          <w:p>
            <w:pPr>
              <w:spacing w:after="0"/>
              <w:rPr>
                <w:sz w:val="1"/>
                <w:szCs w:val="1"/>
                <w:color w:val="auto"/>
              </w:rPr>
            </w:pP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6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08/04/22</w:t>
            </w:r>
          </w:p>
        </w:tc>
        <w:tc>
          <w:tcPr>
            <w:tcW w:w="200" w:type="dxa"/>
            <w:vAlign w:val="bottom"/>
            <w:tcBorders>
              <w:bottom w:val="single" w:sz="8" w:color="CCEEFF"/>
            </w:tcBorders>
            <w:shd w:val="clear" w:color="auto" w:fill="CCEEFF"/>
          </w:tcPr>
          <w:p>
            <w:pPr>
              <w:spacing w:after="0"/>
              <w:rPr>
                <w:sz w:val="17"/>
                <w:szCs w:val="17"/>
                <w:color w:val="auto"/>
              </w:rPr>
            </w:pPr>
          </w:p>
        </w:tc>
        <w:tc>
          <w:tcPr>
            <w:tcW w:w="316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ChemoCentryx, Inc.</w:t>
            </w:r>
          </w:p>
        </w:tc>
        <w:tc>
          <w:tcPr>
            <w:tcW w:w="3360" w:type="dxa"/>
            <w:vAlign w:val="bottom"/>
            <w:tcBorders>
              <w:bottom w:val="single" w:sz="8" w:color="CCEEFF"/>
            </w:tcBorders>
            <w:gridSpan w:val="2"/>
            <w:shd w:val="clear" w:color="auto" w:fill="CCEEFF"/>
          </w:tcPr>
          <w:p>
            <w:pPr>
              <w:ind w:left="220"/>
              <w:spacing w:after="0" w:line="156" w:lineRule="exact"/>
              <w:rPr>
                <w:sz w:val="20"/>
                <w:szCs w:val="20"/>
                <w:color w:val="auto"/>
              </w:rPr>
            </w:pPr>
            <w:r>
              <w:rPr>
                <w:rFonts w:ascii="Arial" w:cs="Arial" w:eastAsia="Arial" w:hAnsi="Arial"/>
                <w:sz w:val="18"/>
                <w:szCs w:val="18"/>
                <w:color w:val="auto"/>
              </w:rPr>
              <w:t>Amgen Inc.</w:t>
            </w:r>
          </w:p>
        </w:tc>
        <w:tc>
          <w:tcPr>
            <w:tcW w:w="1340" w:type="dxa"/>
            <w:vAlign w:val="bottom"/>
            <w:tcBorders>
              <w:bottom w:val="single" w:sz="8" w:color="CCEEFF"/>
            </w:tcBorders>
            <w:gridSpan w:val="5"/>
            <w:shd w:val="clear" w:color="auto" w:fill="CCEEFF"/>
          </w:tcPr>
          <w:p>
            <w:pPr>
              <w:spacing w:after="0"/>
              <w:rPr>
                <w:sz w:val="17"/>
                <w:szCs w:val="17"/>
                <w:color w:val="auto"/>
              </w:rPr>
            </w:pPr>
          </w:p>
        </w:tc>
        <w:tc>
          <w:tcPr>
            <w:tcW w:w="24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87"/>
              </w:rPr>
              <w:t>3.</w:t>
            </w:r>
            <w:r>
              <w:rPr>
                <w:rFonts w:ascii="Arial" w:cs="Arial" w:eastAsia="Arial" w:hAnsi="Arial"/>
                <w:sz w:val="18"/>
                <w:szCs w:val="18"/>
                <w:b w:val="1"/>
                <w:bCs w:val="1"/>
                <w:u w:val="single" w:color="auto"/>
                <w:color w:val="auto"/>
                <w:w w:val="87"/>
              </w:rPr>
              <w:t>6</w:t>
            </w: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2"/>
            <w:shd w:val="clear" w:color="auto" w:fill="CCEEFF"/>
          </w:tcPr>
          <w:p>
            <w:pPr>
              <w:jc w:val="right"/>
              <w:ind w:right="120"/>
              <w:spacing w:after="0" w:line="156" w:lineRule="exact"/>
              <w:rPr>
                <w:sz w:val="20"/>
                <w:szCs w:val="20"/>
                <w:color w:val="auto"/>
              </w:rPr>
            </w:pPr>
            <w:r>
              <w:rPr>
                <w:rFonts w:ascii="Arial" w:cs="Arial" w:eastAsia="Arial" w:hAnsi="Arial"/>
                <w:sz w:val="18"/>
                <w:szCs w:val="18"/>
                <w:color w:val="auto"/>
              </w:rPr>
              <w:t>6.9x</w:t>
            </w:r>
          </w:p>
        </w:tc>
        <w:tc>
          <w:tcPr>
            <w:tcW w:w="0" w:type="dxa"/>
            <w:vAlign w:val="bottom"/>
          </w:tcPr>
          <w:p>
            <w:pPr>
              <w:spacing w:after="0"/>
              <w:rPr>
                <w:sz w:val="1"/>
                <w:szCs w:val="1"/>
                <w:color w:val="auto"/>
              </w:rPr>
            </w:pPr>
          </w:p>
        </w:tc>
      </w:tr>
      <w:tr>
        <w:trPr>
          <w:trHeight w:val="155"/>
        </w:trPr>
        <w:tc>
          <w:tcPr>
            <w:tcW w:w="1260" w:type="dxa"/>
            <w:vAlign w:val="bottom"/>
          </w:tcPr>
          <w:p>
            <w:pPr>
              <w:spacing w:after="0" w:line="156" w:lineRule="exact"/>
              <w:rPr>
                <w:sz w:val="20"/>
                <w:szCs w:val="20"/>
                <w:color w:val="auto"/>
              </w:rPr>
            </w:pPr>
            <w:r>
              <w:rPr>
                <w:rFonts w:ascii="Arial" w:cs="Arial" w:eastAsia="Arial" w:hAnsi="Arial"/>
                <w:sz w:val="18"/>
                <w:szCs w:val="18"/>
                <w:color w:val="auto"/>
              </w:rPr>
              <w:t>01/19/22</w:t>
            </w:r>
          </w:p>
        </w:tc>
        <w:tc>
          <w:tcPr>
            <w:tcW w:w="200" w:type="dxa"/>
            <w:vAlign w:val="bottom"/>
          </w:tcPr>
          <w:p>
            <w:pPr>
              <w:spacing w:after="0"/>
              <w:rPr>
                <w:sz w:val="13"/>
                <w:szCs w:val="13"/>
                <w:color w:val="auto"/>
              </w:rPr>
            </w:pPr>
          </w:p>
        </w:tc>
        <w:tc>
          <w:tcPr>
            <w:tcW w:w="3160" w:type="dxa"/>
            <w:vAlign w:val="bottom"/>
          </w:tcPr>
          <w:p>
            <w:pPr>
              <w:spacing w:after="0" w:line="156" w:lineRule="exact"/>
              <w:rPr>
                <w:sz w:val="20"/>
                <w:szCs w:val="20"/>
                <w:color w:val="auto"/>
              </w:rPr>
            </w:pPr>
            <w:r>
              <w:rPr>
                <w:rFonts w:ascii="Arial" w:cs="Arial" w:eastAsia="Arial" w:hAnsi="Arial"/>
                <w:sz w:val="18"/>
                <w:szCs w:val="18"/>
                <w:color w:val="auto"/>
              </w:rPr>
              <w:t>Zogenix, Inc.</w:t>
            </w:r>
          </w:p>
        </w:tc>
        <w:tc>
          <w:tcPr>
            <w:tcW w:w="3360" w:type="dxa"/>
            <w:vAlign w:val="bottom"/>
            <w:gridSpan w:val="2"/>
          </w:tcPr>
          <w:p>
            <w:pPr>
              <w:ind w:left="220"/>
              <w:spacing w:after="0" w:line="156" w:lineRule="exact"/>
              <w:rPr>
                <w:sz w:val="20"/>
                <w:szCs w:val="20"/>
                <w:color w:val="auto"/>
              </w:rPr>
            </w:pPr>
            <w:r>
              <w:rPr>
                <w:rFonts w:ascii="Arial" w:cs="Arial" w:eastAsia="Arial" w:hAnsi="Arial"/>
                <w:sz w:val="18"/>
                <w:szCs w:val="18"/>
                <w:color w:val="auto"/>
              </w:rPr>
              <w:t>UCB Pharma</w:t>
            </w:r>
          </w:p>
        </w:tc>
        <w:tc>
          <w:tcPr>
            <w:tcW w:w="1340" w:type="dxa"/>
            <w:vAlign w:val="bottom"/>
            <w:gridSpan w:val="5"/>
          </w:tcPr>
          <w:p>
            <w:pPr>
              <w:spacing w:after="0"/>
              <w:rPr>
                <w:sz w:val="13"/>
                <w:szCs w:val="13"/>
                <w:color w:val="auto"/>
              </w:rPr>
            </w:pPr>
          </w:p>
        </w:tc>
        <w:tc>
          <w:tcPr>
            <w:tcW w:w="24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auto"/>
                <w:w w:val="87"/>
              </w:rPr>
              <w:t>1.</w:t>
            </w:r>
            <w:r>
              <w:rPr>
                <w:rFonts w:ascii="Arial" w:cs="Arial" w:eastAsia="Arial" w:hAnsi="Arial"/>
                <w:sz w:val="18"/>
                <w:szCs w:val="18"/>
                <w:b w:val="1"/>
                <w:bCs w:val="1"/>
                <w:u w:val="single" w:color="auto"/>
                <w:color w:val="auto"/>
                <w:w w:val="87"/>
              </w:rPr>
              <w:t>5</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jc w:val="right"/>
              <w:ind w:right="120"/>
              <w:spacing w:after="0" w:line="156" w:lineRule="exact"/>
              <w:rPr>
                <w:sz w:val="20"/>
                <w:szCs w:val="20"/>
                <w:color w:val="auto"/>
              </w:rPr>
            </w:pPr>
            <w:r>
              <w:rPr>
                <w:rFonts w:ascii="Arial" w:cs="Arial" w:eastAsia="Arial" w:hAnsi="Arial"/>
                <w:sz w:val="18"/>
                <w:szCs w:val="18"/>
                <w:color w:val="auto"/>
              </w:rPr>
              <w:t>3.2x</w:t>
            </w:r>
          </w:p>
        </w:tc>
        <w:tc>
          <w:tcPr>
            <w:tcW w:w="0" w:type="dxa"/>
            <w:vAlign w:val="bottom"/>
          </w:tcPr>
          <w:p>
            <w:pPr>
              <w:spacing w:after="0"/>
              <w:rPr>
                <w:sz w:val="1"/>
                <w:szCs w:val="1"/>
                <w:color w:val="auto"/>
              </w:rPr>
            </w:pP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6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09/08/21</w:t>
            </w:r>
          </w:p>
        </w:tc>
        <w:tc>
          <w:tcPr>
            <w:tcW w:w="200" w:type="dxa"/>
            <w:vAlign w:val="bottom"/>
            <w:tcBorders>
              <w:bottom w:val="single" w:sz="8" w:color="CCEEFF"/>
            </w:tcBorders>
            <w:shd w:val="clear" w:color="auto" w:fill="CCEEFF"/>
          </w:tcPr>
          <w:p>
            <w:pPr>
              <w:spacing w:after="0"/>
              <w:rPr>
                <w:sz w:val="17"/>
                <w:szCs w:val="17"/>
                <w:color w:val="auto"/>
              </w:rPr>
            </w:pPr>
          </w:p>
        </w:tc>
        <w:tc>
          <w:tcPr>
            <w:tcW w:w="316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Kadmon Holdings, Inc.</w:t>
            </w:r>
          </w:p>
        </w:tc>
        <w:tc>
          <w:tcPr>
            <w:tcW w:w="3360" w:type="dxa"/>
            <w:vAlign w:val="bottom"/>
            <w:tcBorders>
              <w:bottom w:val="single" w:sz="8" w:color="CCEEFF"/>
            </w:tcBorders>
            <w:gridSpan w:val="2"/>
            <w:shd w:val="clear" w:color="auto" w:fill="CCEEFF"/>
          </w:tcPr>
          <w:p>
            <w:pPr>
              <w:ind w:left="220"/>
              <w:spacing w:after="0" w:line="156" w:lineRule="exact"/>
              <w:rPr>
                <w:sz w:val="20"/>
                <w:szCs w:val="20"/>
                <w:color w:val="auto"/>
              </w:rPr>
            </w:pPr>
            <w:r>
              <w:rPr>
                <w:rFonts w:ascii="Arial" w:cs="Arial" w:eastAsia="Arial" w:hAnsi="Arial"/>
                <w:sz w:val="18"/>
                <w:szCs w:val="18"/>
                <w:color w:val="auto"/>
              </w:rPr>
              <w:t>Sanofi S.A.</w:t>
            </w:r>
          </w:p>
        </w:tc>
        <w:tc>
          <w:tcPr>
            <w:tcW w:w="1340" w:type="dxa"/>
            <w:vAlign w:val="bottom"/>
            <w:tcBorders>
              <w:bottom w:val="single" w:sz="8" w:color="CCEEFF"/>
            </w:tcBorders>
            <w:gridSpan w:val="5"/>
            <w:shd w:val="clear" w:color="auto" w:fill="CCEEFF"/>
          </w:tcPr>
          <w:p>
            <w:pPr>
              <w:spacing w:after="0"/>
              <w:rPr>
                <w:sz w:val="17"/>
                <w:szCs w:val="17"/>
                <w:color w:val="auto"/>
              </w:rPr>
            </w:pPr>
          </w:p>
        </w:tc>
        <w:tc>
          <w:tcPr>
            <w:tcW w:w="24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87"/>
              </w:rPr>
              <w:t>1.</w:t>
            </w:r>
            <w:r>
              <w:rPr>
                <w:rFonts w:ascii="Arial" w:cs="Arial" w:eastAsia="Arial" w:hAnsi="Arial"/>
                <w:sz w:val="18"/>
                <w:szCs w:val="18"/>
                <w:b w:val="1"/>
                <w:bCs w:val="1"/>
                <w:u w:val="single" w:color="auto"/>
                <w:color w:val="auto"/>
                <w:w w:val="87"/>
              </w:rPr>
              <w:t>9</w:t>
            </w: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2"/>
            <w:shd w:val="clear" w:color="auto" w:fill="CCEEFF"/>
          </w:tcPr>
          <w:p>
            <w:pPr>
              <w:jc w:val="right"/>
              <w:ind w:right="120"/>
              <w:spacing w:after="0" w:line="156" w:lineRule="exact"/>
              <w:rPr>
                <w:sz w:val="20"/>
                <w:szCs w:val="20"/>
                <w:color w:val="auto"/>
              </w:rPr>
            </w:pPr>
            <w:r>
              <w:rPr>
                <w:rFonts w:ascii="Arial" w:cs="Arial" w:eastAsia="Arial" w:hAnsi="Arial"/>
                <w:sz w:val="18"/>
                <w:szCs w:val="18"/>
                <w:color w:val="auto"/>
              </w:rPr>
              <w:t>8.8x</w:t>
            </w:r>
          </w:p>
        </w:tc>
        <w:tc>
          <w:tcPr>
            <w:tcW w:w="0" w:type="dxa"/>
            <w:vAlign w:val="bottom"/>
          </w:tcPr>
          <w:p>
            <w:pPr>
              <w:spacing w:after="0"/>
              <w:rPr>
                <w:sz w:val="1"/>
                <w:szCs w:val="1"/>
                <w:color w:val="auto"/>
              </w:rPr>
            </w:pPr>
          </w:p>
        </w:tc>
      </w:tr>
      <w:tr>
        <w:trPr>
          <w:trHeight w:val="155"/>
        </w:trPr>
        <w:tc>
          <w:tcPr>
            <w:tcW w:w="1260" w:type="dxa"/>
            <w:vAlign w:val="bottom"/>
          </w:tcPr>
          <w:p>
            <w:pPr>
              <w:spacing w:after="0" w:line="156" w:lineRule="exact"/>
              <w:rPr>
                <w:sz w:val="20"/>
                <w:szCs w:val="20"/>
                <w:color w:val="auto"/>
              </w:rPr>
            </w:pPr>
            <w:r>
              <w:rPr>
                <w:rFonts w:ascii="Arial" w:cs="Arial" w:eastAsia="Arial" w:hAnsi="Arial"/>
                <w:sz w:val="18"/>
                <w:szCs w:val="18"/>
                <w:color w:val="auto"/>
              </w:rPr>
              <w:t>02/03/21</w:t>
            </w:r>
          </w:p>
        </w:tc>
        <w:tc>
          <w:tcPr>
            <w:tcW w:w="200" w:type="dxa"/>
            <w:vAlign w:val="bottom"/>
          </w:tcPr>
          <w:p>
            <w:pPr>
              <w:spacing w:after="0"/>
              <w:rPr>
                <w:sz w:val="13"/>
                <w:szCs w:val="13"/>
                <w:color w:val="auto"/>
              </w:rPr>
            </w:pPr>
          </w:p>
        </w:tc>
        <w:tc>
          <w:tcPr>
            <w:tcW w:w="3160" w:type="dxa"/>
            <w:vAlign w:val="bottom"/>
          </w:tcPr>
          <w:p>
            <w:pPr>
              <w:spacing w:after="0" w:line="156" w:lineRule="exact"/>
              <w:rPr>
                <w:sz w:val="20"/>
                <w:szCs w:val="20"/>
                <w:color w:val="auto"/>
              </w:rPr>
            </w:pPr>
            <w:r>
              <w:rPr>
                <w:rFonts w:ascii="Arial" w:cs="Arial" w:eastAsia="Arial" w:hAnsi="Arial"/>
                <w:sz w:val="18"/>
                <w:szCs w:val="18"/>
                <w:color w:val="auto"/>
              </w:rPr>
              <w:t>GW Pharmaceuticals plc</w:t>
            </w:r>
          </w:p>
        </w:tc>
        <w:tc>
          <w:tcPr>
            <w:tcW w:w="3360" w:type="dxa"/>
            <w:vAlign w:val="bottom"/>
            <w:gridSpan w:val="2"/>
          </w:tcPr>
          <w:p>
            <w:pPr>
              <w:ind w:left="220"/>
              <w:spacing w:after="0" w:line="156" w:lineRule="exact"/>
              <w:rPr>
                <w:sz w:val="20"/>
                <w:szCs w:val="20"/>
                <w:color w:val="auto"/>
              </w:rPr>
            </w:pPr>
            <w:r>
              <w:rPr>
                <w:rFonts w:ascii="Arial" w:cs="Arial" w:eastAsia="Arial" w:hAnsi="Arial"/>
                <w:sz w:val="18"/>
                <w:szCs w:val="18"/>
                <w:color w:val="auto"/>
              </w:rPr>
              <w:t>Jazz Pharmaceuticals plc</w:t>
            </w:r>
          </w:p>
        </w:tc>
        <w:tc>
          <w:tcPr>
            <w:tcW w:w="1340" w:type="dxa"/>
            <w:vAlign w:val="bottom"/>
            <w:gridSpan w:val="5"/>
          </w:tcPr>
          <w:p>
            <w:pPr>
              <w:spacing w:after="0"/>
              <w:rPr>
                <w:sz w:val="13"/>
                <w:szCs w:val="13"/>
                <w:color w:val="auto"/>
              </w:rPr>
            </w:pPr>
          </w:p>
        </w:tc>
        <w:tc>
          <w:tcPr>
            <w:tcW w:w="24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auto"/>
                <w:w w:val="87"/>
              </w:rPr>
              <w:t>6.</w:t>
            </w:r>
            <w:r>
              <w:rPr>
                <w:rFonts w:ascii="Arial" w:cs="Arial" w:eastAsia="Arial" w:hAnsi="Arial"/>
                <w:sz w:val="18"/>
                <w:szCs w:val="18"/>
                <w:b w:val="1"/>
                <w:bCs w:val="1"/>
                <w:u w:val="single" w:color="auto"/>
                <w:color w:val="auto"/>
                <w:w w:val="87"/>
              </w:rPr>
              <w:t>7</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jc w:val="right"/>
              <w:ind w:right="120"/>
              <w:spacing w:after="0" w:line="156" w:lineRule="exact"/>
              <w:rPr>
                <w:sz w:val="20"/>
                <w:szCs w:val="20"/>
                <w:color w:val="auto"/>
              </w:rPr>
            </w:pPr>
            <w:r>
              <w:rPr>
                <w:rFonts w:ascii="Arial" w:cs="Arial" w:eastAsia="Arial" w:hAnsi="Arial"/>
                <w:sz w:val="18"/>
                <w:szCs w:val="18"/>
                <w:color w:val="auto"/>
              </w:rPr>
              <w:t>5.8x</w:t>
            </w:r>
          </w:p>
        </w:tc>
        <w:tc>
          <w:tcPr>
            <w:tcW w:w="0" w:type="dxa"/>
            <w:vAlign w:val="bottom"/>
          </w:tcPr>
          <w:p>
            <w:pPr>
              <w:spacing w:after="0"/>
              <w:rPr>
                <w:sz w:val="1"/>
                <w:szCs w:val="1"/>
                <w:color w:val="auto"/>
              </w:rPr>
            </w:pP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6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02/01/21</w:t>
            </w:r>
          </w:p>
        </w:tc>
        <w:tc>
          <w:tcPr>
            <w:tcW w:w="200" w:type="dxa"/>
            <w:vAlign w:val="bottom"/>
            <w:tcBorders>
              <w:bottom w:val="single" w:sz="8" w:color="CCEEFF"/>
            </w:tcBorders>
            <w:shd w:val="clear" w:color="auto" w:fill="CCEEFF"/>
          </w:tcPr>
          <w:p>
            <w:pPr>
              <w:spacing w:after="0"/>
              <w:rPr>
                <w:sz w:val="17"/>
                <w:szCs w:val="17"/>
                <w:color w:val="auto"/>
              </w:rPr>
            </w:pPr>
          </w:p>
        </w:tc>
        <w:tc>
          <w:tcPr>
            <w:tcW w:w="316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Viela Bio, Inc.</w:t>
            </w:r>
          </w:p>
        </w:tc>
        <w:tc>
          <w:tcPr>
            <w:tcW w:w="3360" w:type="dxa"/>
            <w:vAlign w:val="bottom"/>
            <w:tcBorders>
              <w:bottom w:val="single" w:sz="8" w:color="CCEEFF"/>
            </w:tcBorders>
            <w:gridSpan w:val="2"/>
            <w:shd w:val="clear" w:color="auto" w:fill="CCEEFF"/>
          </w:tcPr>
          <w:p>
            <w:pPr>
              <w:ind w:left="220"/>
              <w:spacing w:after="0" w:line="156" w:lineRule="exact"/>
              <w:rPr>
                <w:sz w:val="20"/>
                <w:szCs w:val="20"/>
                <w:color w:val="auto"/>
              </w:rPr>
            </w:pPr>
            <w:r>
              <w:rPr>
                <w:rFonts w:ascii="Arial" w:cs="Arial" w:eastAsia="Arial" w:hAnsi="Arial"/>
                <w:sz w:val="18"/>
                <w:szCs w:val="18"/>
                <w:color w:val="auto"/>
              </w:rPr>
              <w:t>Horizon Therapeutics plc</w:t>
            </w:r>
          </w:p>
        </w:tc>
        <w:tc>
          <w:tcPr>
            <w:tcW w:w="1340" w:type="dxa"/>
            <w:vAlign w:val="bottom"/>
            <w:tcBorders>
              <w:bottom w:val="single" w:sz="8" w:color="CCEEFF"/>
            </w:tcBorders>
            <w:gridSpan w:val="5"/>
            <w:shd w:val="clear" w:color="auto" w:fill="CCEEFF"/>
          </w:tcPr>
          <w:p>
            <w:pPr>
              <w:spacing w:after="0"/>
              <w:rPr>
                <w:sz w:val="17"/>
                <w:szCs w:val="17"/>
                <w:color w:val="auto"/>
              </w:rPr>
            </w:pPr>
          </w:p>
        </w:tc>
        <w:tc>
          <w:tcPr>
            <w:tcW w:w="24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87"/>
              </w:rPr>
              <w:t>2.</w:t>
            </w:r>
            <w:r>
              <w:rPr>
                <w:rFonts w:ascii="Arial" w:cs="Arial" w:eastAsia="Arial" w:hAnsi="Arial"/>
                <w:sz w:val="18"/>
                <w:szCs w:val="18"/>
                <w:b w:val="1"/>
                <w:bCs w:val="1"/>
                <w:u w:val="single" w:color="auto"/>
                <w:color w:val="auto"/>
                <w:w w:val="87"/>
              </w:rPr>
              <w:t>7</w:t>
            </w: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460" w:type="dxa"/>
            <w:vAlign w:val="bottom"/>
            <w:tcBorders>
              <w:bottom w:val="single" w:sz="8" w:color="CCEEFF"/>
            </w:tcBorders>
            <w:gridSpan w:val="2"/>
            <w:shd w:val="clear" w:color="auto" w:fill="CCEEFF"/>
          </w:tcPr>
          <w:p>
            <w:pPr>
              <w:jc w:val="right"/>
              <w:ind w:right="120"/>
              <w:spacing w:after="0" w:line="156" w:lineRule="exact"/>
              <w:rPr>
                <w:sz w:val="20"/>
                <w:szCs w:val="20"/>
                <w:color w:val="auto"/>
              </w:rPr>
            </w:pPr>
            <w:r>
              <w:rPr>
                <w:rFonts w:ascii="Arial" w:cs="Arial" w:eastAsia="Arial" w:hAnsi="Arial"/>
                <w:sz w:val="18"/>
                <w:szCs w:val="18"/>
                <w:color w:val="auto"/>
              </w:rPr>
              <w:t>12.0x</w:t>
            </w:r>
          </w:p>
        </w:tc>
        <w:tc>
          <w:tcPr>
            <w:tcW w:w="0" w:type="dxa"/>
            <w:vAlign w:val="bottom"/>
          </w:tcPr>
          <w:p>
            <w:pPr>
              <w:spacing w:after="0"/>
              <w:rPr>
                <w:sz w:val="1"/>
                <w:szCs w:val="1"/>
                <w:color w:val="auto"/>
              </w:rPr>
            </w:pPr>
          </w:p>
        </w:tc>
      </w:tr>
      <w:tr>
        <w:trPr>
          <w:trHeight w:val="156"/>
        </w:trPr>
        <w:tc>
          <w:tcPr>
            <w:tcW w:w="1260" w:type="dxa"/>
            <w:vAlign w:val="bottom"/>
          </w:tcPr>
          <w:p>
            <w:pPr>
              <w:spacing w:after="0" w:line="156" w:lineRule="exact"/>
              <w:rPr>
                <w:sz w:val="20"/>
                <w:szCs w:val="20"/>
                <w:color w:val="auto"/>
              </w:rPr>
            </w:pPr>
            <w:r>
              <w:rPr>
                <w:rFonts w:ascii="Arial" w:cs="Arial" w:eastAsia="Arial" w:hAnsi="Arial"/>
                <w:sz w:val="18"/>
                <w:szCs w:val="18"/>
                <w:color w:val="auto"/>
              </w:rPr>
              <w:t>05/05/20</w:t>
            </w:r>
          </w:p>
        </w:tc>
        <w:tc>
          <w:tcPr>
            <w:tcW w:w="200" w:type="dxa"/>
            <w:vAlign w:val="bottom"/>
          </w:tcPr>
          <w:p>
            <w:pPr>
              <w:spacing w:after="0"/>
              <w:rPr>
                <w:sz w:val="13"/>
                <w:szCs w:val="13"/>
                <w:color w:val="auto"/>
              </w:rPr>
            </w:pPr>
          </w:p>
        </w:tc>
        <w:tc>
          <w:tcPr>
            <w:tcW w:w="3160" w:type="dxa"/>
            <w:vAlign w:val="bottom"/>
          </w:tcPr>
          <w:p>
            <w:pPr>
              <w:spacing w:after="0" w:line="156" w:lineRule="exact"/>
              <w:rPr>
                <w:sz w:val="20"/>
                <w:szCs w:val="20"/>
                <w:color w:val="auto"/>
              </w:rPr>
            </w:pPr>
            <w:r>
              <w:rPr>
                <w:rFonts w:ascii="Arial" w:cs="Arial" w:eastAsia="Arial" w:hAnsi="Arial"/>
                <w:sz w:val="18"/>
                <w:szCs w:val="18"/>
                <w:color w:val="auto"/>
              </w:rPr>
              <w:t>Portola Pharmaceuticals, Inc.</w:t>
            </w:r>
          </w:p>
        </w:tc>
        <w:tc>
          <w:tcPr>
            <w:tcW w:w="3360" w:type="dxa"/>
            <w:vAlign w:val="bottom"/>
            <w:gridSpan w:val="2"/>
          </w:tcPr>
          <w:p>
            <w:pPr>
              <w:ind w:left="220"/>
              <w:spacing w:after="0" w:line="156" w:lineRule="exact"/>
              <w:rPr>
                <w:sz w:val="20"/>
                <w:szCs w:val="20"/>
                <w:color w:val="auto"/>
              </w:rPr>
            </w:pPr>
            <w:r>
              <w:rPr>
                <w:rFonts w:ascii="Arial" w:cs="Arial" w:eastAsia="Arial" w:hAnsi="Arial"/>
                <w:sz w:val="18"/>
                <w:szCs w:val="18"/>
                <w:color w:val="auto"/>
              </w:rPr>
              <w:t>Alexion Pharmaceuticals, Inc.</w:t>
            </w:r>
          </w:p>
        </w:tc>
        <w:tc>
          <w:tcPr>
            <w:tcW w:w="1340" w:type="dxa"/>
            <w:vAlign w:val="bottom"/>
            <w:gridSpan w:val="5"/>
          </w:tcPr>
          <w:p>
            <w:pPr>
              <w:spacing w:after="0"/>
              <w:rPr>
                <w:sz w:val="13"/>
                <w:szCs w:val="13"/>
                <w:color w:val="auto"/>
              </w:rPr>
            </w:pPr>
          </w:p>
        </w:tc>
        <w:tc>
          <w:tcPr>
            <w:tcW w:w="24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auto"/>
                <w:w w:val="87"/>
              </w:rPr>
              <w:t>1.</w:t>
            </w:r>
            <w:r>
              <w:rPr>
                <w:rFonts w:ascii="Arial" w:cs="Arial" w:eastAsia="Arial" w:hAnsi="Arial"/>
                <w:sz w:val="18"/>
                <w:szCs w:val="18"/>
                <w:b w:val="1"/>
                <w:bCs w:val="1"/>
                <w:u w:val="single" w:color="auto"/>
                <w:color w:val="auto"/>
                <w:w w:val="87"/>
              </w:rPr>
              <w:t>5</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jc w:val="right"/>
              <w:ind w:right="120"/>
              <w:spacing w:after="0" w:line="156" w:lineRule="exact"/>
              <w:rPr>
                <w:sz w:val="20"/>
                <w:szCs w:val="20"/>
                <w:color w:val="auto"/>
              </w:rPr>
            </w:pPr>
            <w:r>
              <w:rPr>
                <w:rFonts w:ascii="Arial" w:cs="Arial" w:eastAsia="Arial" w:hAnsi="Arial"/>
                <w:sz w:val="18"/>
                <w:szCs w:val="18"/>
                <w:color w:val="auto"/>
              </w:rPr>
              <w:t>4.1x</w:t>
            </w:r>
          </w:p>
        </w:tc>
        <w:tc>
          <w:tcPr>
            <w:tcW w:w="0" w:type="dxa"/>
            <w:vAlign w:val="bottom"/>
          </w:tcPr>
          <w:p>
            <w:pPr>
              <w:spacing w:after="0"/>
              <w:rPr>
                <w:sz w:val="1"/>
                <w:szCs w:val="1"/>
                <w:color w:val="auto"/>
              </w:rPr>
            </w:pP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Median</w:t>
            </w:r>
          </w:p>
        </w:tc>
        <w:tc>
          <w:tcPr>
            <w:tcW w:w="200" w:type="dxa"/>
            <w:vAlign w:val="bottom"/>
            <w:shd w:val="clear" w:color="auto" w:fill="CCEEFF"/>
          </w:tcPr>
          <w:p>
            <w:pPr>
              <w:spacing w:after="0"/>
              <w:rPr>
                <w:sz w:val="17"/>
                <w:szCs w:val="17"/>
                <w:color w:val="auto"/>
              </w:rPr>
            </w:pPr>
          </w:p>
        </w:tc>
        <w:tc>
          <w:tcPr>
            <w:tcW w:w="3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b w:val="1"/>
                <w:bCs w:val="1"/>
                <w:color w:val="auto"/>
              </w:rPr>
              <w:t>6.6x</w:t>
            </w:r>
          </w:p>
        </w:tc>
        <w:tc>
          <w:tcPr>
            <w:tcW w:w="0" w:type="dxa"/>
            <w:vAlign w:val="bottom"/>
          </w:tcPr>
          <w:p>
            <w:pPr>
              <w:spacing w:after="0"/>
              <w:rPr>
                <w:sz w:val="1"/>
                <w:szCs w:val="1"/>
                <w:color w:val="auto"/>
              </w:rPr>
            </w:pPr>
          </w:p>
        </w:tc>
      </w:tr>
      <w:tr>
        <w:trPr>
          <w:trHeight w:val="648"/>
        </w:trPr>
        <w:tc>
          <w:tcPr>
            <w:tcW w:w="1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2"/>
          </w:tcPr>
          <w:p>
            <w:pPr>
              <w:ind w:left="960"/>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i w:val="1"/>
          <w:iCs w:val="1"/>
          <w:color w:val="auto"/>
        </w:rPr>
        <w:t>Opinion of Centerview Partners LLC.</w:t>
      </w:r>
    </w:p>
    <w:p>
      <w:pPr>
        <w:spacing w:after="0" w:line="22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i w:val="1"/>
          <w:iCs w:val="1"/>
          <w:color w:val="auto"/>
        </w:rPr>
        <w:t>The disclosure under the section entitled “The Merger — Opinion of IVERIC’s Financial Advisors — Opinion of Centerview Partners LLC” is hereby amended and supplemented by adding the following bolded and double underlined language to the table on page 59 of the Definitive Proxy Statement:</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 xml:space="preserve">Enterprise Value </w:t>
            </w: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bn)</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tcPr>
          <w:p>
            <w:pPr>
              <w:jc w:val="right"/>
              <w:ind w:right="150"/>
              <w:spacing w:after="0"/>
              <w:rPr>
                <w:sz w:val="20"/>
                <w:szCs w:val="20"/>
                <w:color w:val="auto"/>
              </w:rPr>
            </w:pPr>
            <w:r>
              <w:rPr>
                <w:rFonts w:ascii="Arial" w:cs="Arial" w:eastAsia="Arial" w:hAnsi="Arial"/>
                <w:sz w:val="18"/>
                <w:szCs w:val="18"/>
                <w:b w:val="1"/>
                <w:bCs w:val="1"/>
                <w:color w:val="auto"/>
              </w:rPr>
              <w:t>3-Y Revenue Trading Multiple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560" w:type="dxa"/>
            <w:vAlign w:val="bottom"/>
            <w:gridSpan w:val="6"/>
            <w:shd w:val="clear" w:color="auto" w:fill="CCEEFF"/>
          </w:tcPr>
          <w:p>
            <w:pPr>
              <w:spacing w:after="0" w:line="169" w:lineRule="exact"/>
              <w:rPr>
                <w:sz w:val="20"/>
                <w:szCs w:val="20"/>
                <w:color w:val="auto"/>
              </w:rPr>
            </w:pPr>
            <w:r>
              <w:rPr>
                <w:rFonts w:ascii="Arial" w:cs="Arial" w:eastAsia="Arial" w:hAnsi="Arial"/>
                <w:sz w:val="18"/>
                <w:szCs w:val="18"/>
                <w:color w:val="auto"/>
              </w:rPr>
              <w:t>Amylyx Pharmaceuticals, Inc.</w:t>
            </w:r>
          </w:p>
        </w:tc>
        <w:tc>
          <w:tcPr>
            <w:tcW w:w="560" w:type="dxa"/>
            <w:vAlign w:val="bottom"/>
            <w:gridSpan w:val="3"/>
            <w:shd w:val="clear" w:color="auto" w:fill="CCEEFF"/>
          </w:tcPr>
          <w:p>
            <w:pPr>
              <w:jc w:val="right"/>
              <w:ind w:right="20"/>
              <w:spacing w:after="0" w:line="169" w:lineRule="exact"/>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b w:val="1"/>
                <w:bCs w:val="1"/>
                <w:u w:val="single" w:color="auto"/>
                <w:color w:val="auto"/>
              </w:rPr>
              <w:t>7</w:t>
            </w:r>
          </w:p>
        </w:tc>
        <w:tc>
          <w:tcPr>
            <w:tcW w:w="200" w:type="dxa"/>
            <w:vAlign w:val="bottom"/>
            <w:shd w:val="clear" w:color="auto" w:fill="CCEEFF"/>
          </w:tcPr>
          <w:p>
            <w:pPr>
              <w:spacing w:after="0"/>
              <w:rPr>
                <w:sz w:val="18"/>
                <w:szCs w:val="18"/>
                <w:color w:val="auto"/>
              </w:rPr>
            </w:pPr>
          </w:p>
        </w:tc>
        <w:tc>
          <w:tcPr>
            <w:tcW w:w="282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1.7x</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12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91"/>
              </w:rPr>
              <w:t>Apellis Pharmaceuticals, Inc.</w:t>
            </w:r>
          </w:p>
        </w:tc>
        <w:tc>
          <w:tcPr>
            <w:tcW w:w="160" w:type="dxa"/>
            <w:vAlign w:val="bottom"/>
            <w:tcBorders>
              <w:top w:val="single" w:sz="8" w:color="CCEEFF"/>
              <w:bottom w:val="single" w:sz="8" w:color="auto"/>
            </w:tcBorders>
          </w:tcPr>
          <w:p>
            <w:pPr>
              <w:jc w:val="right"/>
              <w:spacing w:after="0" w:line="136" w:lineRule="exact"/>
              <w:rPr>
                <w:sz w:val="20"/>
                <w:szCs w:val="20"/>
                <w:color w:val="auto"/>
              </w:rPr>
            </w:pPr>
            <w:r>
              <w:rPr>
                <w:rFonts w:ascii="Arial" w:cs="Arial" w:eastAsia="Arial" w:hAnsi="Arial"/>
                <w:sz w:val="15"/>
                <w:szCs w:val="15"/>
                <w:b w:val="1"/>
                <w:bCs w:val="1"/>
                <w:color w:val="auto"/>
                <w:w w:val="76"/>
              </w:rPr>
              <w:t>(1)</w:t>
            </w:r>
          </w:p>
        </w:tc>
        <w:tc>
          <w:tcPr>
            <w:tcW w:w="20" w:type="dxa"/>
            <w:vAlign w:val="bottom"/>
            <w:tcBorders>
              <w:top w:val="single" w:sz="8" w:color="CCEEFF"/>
              <w:bottom w:val="single" w:sz="8" w:color="CCEEFF"/>
            </w:tcBorders>
            <w:vMerge w:val="restart"/>
          </w:tcPr>
          <w:p>
            <w:pPr>
              <w:spacing w:after="0"/>
              <w:rPr>
                <w:sz w:val="13"/>
                <w:szCs w:val="13"/>
                <w:color w:val="auto"/>
              </w:rPr>
            </w:pPr>
          </w:p>
        </w:tc>
        <w:tc>
          <w:tcPr>
            <w:tcW w:w="5260" w:type="dxa"/>
            <w:vAlign w:val="bottom"/>
            <w:tcBorders>
              <w:top w:val="single" w:sz="8" w:color="CCEEFF"/>
              <w:bottom w:val="single" w:sz="8" w:color="CCEEFF"/>
            </w:tcBorders>
            <w:gridSpan w:val="3"/>
            <w:vMerge w:val="restart"/>
          </w:tcPr>
          <w:p>
            <w:pPr>
              <w:spacing w:after="0"/>
              <w:rPr>
                <w:sz w:val="13"/>
                <w:szCs w:val="13"/>
                <w:color w:val="auto"/>
              </w:rPr>
            </w:pPr>
          </w:p>
        </w:tc>
        <w:tc>
          <w:tcPr>
            <w:tcW w:w="300" w:type="dxa"/>
            <w:vAlign w:val="bottom"/>
            <w:tcBorders>
              <w:top w:val="single" w:sz="8" w:color="CCEEFF"/>
            </w:tcBorders>
          </w:tcPr>
          <w:p>
            <w:pPr>
              <w:spacing w:after="0"/>
              <w:rPr>
                <w:sz w:val="13"/>
                <w:szCs w:val="13"/>
                <w:color w:val="auto"/>
              </w:rPr>
            </w:pPr>
          </w:p>
        </w:tc>
        <w:tc>
          <w:tcPr>
            <w:tcW w:w="240" w:type="dxa"/>
            <w:vAlign w:val="bottom"/>
            <w:tcBorders>
              <w:top w:val="single" w:sz="8" w:color="auto"/>
              <w:bottom w:val="single" w:sz="8" w:color="auto"/>
            </w:tcBorders>
            <w:vMerge w:val="restart"/>
          </w:tcPr>
          <w:p>
            <w:pPr>
              <w:jc w:val="right"/>
              <w:spacing w:after="0" w:line="169" w:lineRule="exact"/>
              <w:rPr>
                <w:sz w:val="20"/>
                <w:szCs w:val="20"/>
                <w:color w:val="auto"/>
              </w:rPr>
            </w:pPr>
            <w:r>
              <w:rPr>
                <w:rFonts w:ascii="Arial" w:cs="Arial" w:eastAsia="Arial" w:hAnsi="Arial"/>
                <w:sz w:val="18"/>
                <w:szCs w:val="18"/>
                <w:b w:val="1"/>
                <w:bCs w:val="1"/>
                <w:color w:val="auto"/>
                <w:w w:val="87"/>
              </w:rPr>
              <w:t>7.</w:t>
            </w:r>
            <w:r>
              <w:rPr>
                <w:rFonts w:ascii="Arial" w:cs="Arial" w:eastAsia="Arial" w:hAnsi="Arial"/>
                <w:sz w:val="18"/>
                <w:szCs w:val="18"/>
                <w:b w:val="1"/>
                <w:bCs w:val="1"/>
                <w:u w:val="single" w:color="auto"/>
                <w:color w:val="auto"/>
                <w:w w:val="87"/>
              </w:rPr>
              <w:t>5</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2820" w:type="dxa"/>
            <w:vAlign w:val="bottom"/>
            <w:tcBorders>
              <w:top w:val="single" w:sz="8" w:color="CCEEFF"/>
              <w:bottom w:val="single" w:sz="8" w:color="CCEEFF"/>
            </w:tcBorders>
            <w:vMerge w:val="restart"/>
          </w:tcPr>
          <w:p>
            <w:pPr>
              <w:jc w:val="right"/>
              <w:spacing w:after="0" w:line="195" w:lineRule="exact"/>
              <w:rPr>
                <w:sz w:val="20"/>
                <w:szCs w:val="20"/>
                <w:color w:val="auto"/>
              </w:rPr>
            </w:pPr>
            <w:r>
              <w:rPr>
                <w:rFonts w:ascii="Arial" w:cs="Arial" w:eastAsia="Arial" w:hAnsi="Arial"/>
                <w:sz w:val="18"/>
                <w:szCs w:val="18"/>
                <w:color w:val="auto"/>
              </w:rPr>
              <w:t>5.6x</w:t>
            </w: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60"/>
        </w:trPr>
        <w:tc>
          <w:tcPr>
            <w:tcW w:w="2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5260" w:type="dxa"/>
            <w:vAlign w:val="bottom"/>
            <w:gridSpan w:val="3"/>
            <w:vMerge w:val="continue"/>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Borders>
              <w:bottom w:val="single" w:sz="8" w:color="auto"/>
            </w:tcBorders>
            <w:vMerge w:val="continue"/>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Pr>
          <w:p>
            <w:pPr>
              <w:spacing w:after="0"/>
              <w:rPr>
                <w:sz w:val="5"/>
                <w:szCs w:val="5"/>
                <w:color w:val="auto"/>
              </w:rPr>
            </w:pPr>
          </w:p>
        </w:tc>
        <w:tc>
          <w:tcPr>
            <w:tcW w:w="282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7560" w:type="dxa"/>
            <w:vAlign w:val="bottom"/>
            <w:gridSpan w:val="6"/>
            <w:shd w:val="clear" w:color="auto" w:fill="CCEEFF"/>
          </w:tcPr>
          <w:p>
            <w:pPr>
              <w:spacing w:after="0" w:line="157" w:lineRule="exact"/>
              <w:rPr>
                <w:sz w:val="20"/>
                <w:szCs w:val="20"/>
                <w:color w:val="auto"/>
              </w:rPr>
            </w:pPr>
            <w:r>
              <w:rPr>
                <w:rFonts w:ascii="Arial" w:cs="Arial" w:eastAsia="Arial" w:hAnsi="Arial"/>
                <w:sz w:val="18"/>
                <w:szCs w:val="18"/>
                <w:color w:val="auto"/>
              </w:rPr>
              <w:t>Axsome Therapeutics, Inc.</w:t>
            </w:r>
          </w:p>
        </w:tc>
        <w:tc>
          <w:tcPr>
            <w:tcW w:w="560" w:type="dxa"/>
            <w:vAlign w:val="bottom"/>
            <w:gridSpan w:val="3"/>
            <w:shd w:val="clear" w:color="auto" w:fill="CCEEFF"/>
          </w:tcPr>
          <w:p>
            <w:pPr>
              <w:jc w:val="right"/>
              <w:ind w:right="20"/>
              <w:spacing w:after="0" w:line="157" w:lineRule="exact"/>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b w:val="1"/>
                <w:bCs w:val="1"/>
                <w:u w:val="single" w:color="auto"/>
                <w:color w:val="auto"/>
              </w:rPr>
              <w:t>2</w:t>
            </w:r>
          </w:p>
        </w:tc>
        <w:tc>
          <w:tcPr>
            <w:tcW w:w="200" w:type="dxa"/>
            <w:vAlign w:val="bottom"/>
            <w:shd w:val="clear" w:color="auto" w:fill="CCEEFF"/>
          </w:tcPr>
          <w:p>
            <w:pPr>
              <w:spacing w:after="0"/>
              <w:rPr>
                <w:sz w:val="17"/>
                <w:szCs w:val="17"/>
                <w:color w:val="auto"/>
              </w:rPr>
            </w:pPr>
          </w:p>
        </w:tc>
        <w:tc>
          <w:tcPr>
            <w:tcW w:w="2820" w:type="dxa"/>
            <w:vAlign w:val="bottom"/>
            <w:shd w:val="clear" w:color="auto" w:fill="CCEEFF"/>
          </w:tcPr>
          <w:p>
            <w:pPr>
              <w:jc w:val="right"/>
              <w:spacing w:after="0" w:line="157" w:lineRule="exact"/>
              <w:rPr>
                <w:sz w:val="20"/>
                <w:szCs w:val="20"/>
                <w:color w:val="auto"/>
              </w:rPr>
            </w:pPr>
            <w:r>
              <w:rPr>
                <w:rFonts w:ascii="Arial" w:cs="Arial" w:eastAsia="Arial" w:hAnsi="Arial"/>
                <w:sz w:val="18"/>
                <w:szCs w:val="18"/>
                <w:color w:val="auto"/>
              </w:rPr>
              <w:t>3.5x</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7560" w:type="dxa"/>
            <w:vAlign w:val="bottom"/>
            <w:tcBorders>
              <w:top w:val="single" w:sz="8" w:color="CCEEFF"/>
            </w:tcBorders>
            <w:gridSpan w:val="6"/>
          </w:tcPr>
          <w:p>
            <w:pPr>
              <w:spacing w:after="0" w:line="156" w:lineRule="exact"/>
              <w:rPr>
                <w:sz w:val="20"/>
                <w:szCs w:val="20"/>
                <w:color w:val="auto"/>
              </w:rPr>
            </w:pPr>
            <w:r>
              <w:rPr>
                <w:rFonts w:ascii="Arial" w:cs="Arial" w:eastAsia="Arial" w:hAnsi="Arial"/>
                <w:sz w:val="18"/>
                <w:szCs w:val="18"/>
                <w:color w:val="auto"/>
              </w:rPr>
              <w:t>Intra-Cellular Therapies, Inc.</w:t>
            </w:r>
          </w:p>
        </w:tc>
        <w:tc>
          <w:tcPr>
            <w:tcW w:w="300" w:type="dxa"/>
            <w:vAlign w:val="bottom"/>
            <w:tcBorders>
              <w:top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87"/>
              </w:rPr>
              <w:t>5.</w:t>
            </w:r>
            <w:r>
              <w:rPr>
                <w:rFonts w:ascii="Arial" w:cs="Arial" w:eastAsia="Arial" w:hAnsi="Arial"/>
                <w:sz w:val="18"/>
                <w:szCs w:val="18"/>
                <w:b w:val="1"/>
                <w:bCs w:val="1"/>
                <w:u w:val="single" w:color="auto"/>
                <w:color w:val="auto"/>
                <w:w w:val="87"/>
              </w:rPr>
              <w:t>6</w:t>
            </w:r>
          </w:p>
        </w:tc>
        <w:tc>
          <w:tcPr>
            <w:tcW w:w="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282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auto"/>
              </w:rPr>
              <w:t>4.4x</w:t>
            </w: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7560" w:type="dxa"/>
            <w:vAlign w:val="bottom"/>
            <w:tcBorders>
              <w:bottom w:val="single" w:sz="8" w:color="CCEEFF"/>
            </w:tcBorders>
            <w:gridSpan w:val="6"/>
            <w:shd w:val="clear" w:color="auto" w:fill="CCEEFF"/>
          </w:tcPr>
          <w:p>
            <w:pPr>
              <w:spacing w:after="0" w:line="156" w:lineRule="exact"/>
              <w:rPr>
                <w:sz w:val="20"/>
                <w:szCs w:val="20"/>
                <w:color w:val="auto"/>
              </w:rPr>
            </w:pPr>
            <w:r>
              <w:rPr>
                <w:rFonts w:ascii="Arial" w:cs="Arial" w:eastAsia="Arial" w:hAnsi="Arial"/>
                <w:sz w:val="18"/>
                <w:szCs w:val="18"/>
                <w:color w:val="auto"/>
              </w:rPr>
              <w:t>Karuna Therapeutics, Inc.</w:t>
            </w:r>
          </w:p>
        </w:tc>
        <w:tc>
          <w:tcPr>
            <w:tcW w:w="3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87"/>
              </w:rPr>
              <w:t>6.</w:t>
            </w:r>
            <w:r>
              <w:rPr>
                <w:rFonts w:ascii="Arial" w:cs="Arial" w:eastAsia="Arial" w:hAnsi="Arial"/>
                <w:sz w:val="18"/>
                <w:szCs w:val="18"/>
                <w:b w:val="1"/>
                <w:bCs w:val="1"/>
                <w:u w:val="single" w:color="auto"/>
                <w:color w:val="auto"/>
                <w:w w:val="87"/>
              </w:rPr>
              <w:t>3</w:t>
            </w: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82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10.8x</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7560" w:type="dxa"/>
            <w:vAlign w:val="bottom"/>
            <w:tcBorders>
              <w:top w:val="single" w:sz="8" w:color="CCEEFF"/>
            </w:tcBorders>
            <w:gridSpan w:val="6"/>
          </w:tcPr>
          <w:p>
            <w:pPr>
              <w:spacing w:after="0" w:line="156" w:lineRule="exact"/>
              <w:rPr>
                <w:sz w:val="20"/>
                <w:szCs w:val="20"/>
                <w:color w:val="auto"/>
              </w:rPr>
            </w:pPr>
            <w:r>
              <w:rPr>
                <w:rFonts w:ascii="Arial" w:cs="Arial" w:eastAsia="Arial" w:hAnsi="Arial"/>
                <w:sz w:val="18"/>
                <w:szCs w:val="18"/>
                <w:color w:val="auto"/>
              </w:rPr>
              <w:t>Reata Pharmaceuticals, Inc.</w:t>
            </w:r>
          </w:p>
        </w:tc>
        <w:tc>
          <w:tcPr>
            <w:tcW w:w="300" w:type="dxa"/>
            <w:vAlign w:val="bottom"/>
            <w:tcBorders>
              <w:top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jc w:val="right"/>
              <w:spacing w:after="0" w:line="156" w:lineRule="exact"/>
              <w:rPr>
                <w:sz w:val="20"/>
                <w:szCs w:val="20"/>
                <w:color w:val="auto"/>
              </w:rPr>
            </w:pPr>
            <w:r>
              <w:rPr>
                <w:rFonts w:ascii="Arial" w:cs="Arial" w:eastAsia="Arial" w:hAnsi="Arial"/>
                <w:sz w:val="18"/>
                <w:szCs w:val="18"/>
                <w:b w:val="1"/>
                <w:bCs w:val="1"/>
                <w:color w:val="auto"/>
                <w:w w:val="87"/>
              </w:rPr>
              <w:t>3.</w:t>
            </w:r>
            <w:r>
              <w:rPr>
                <w:rFonts w:ascii="Arial" w:cs="Arial" w:eastAsia="Arial" w:hAnsi="Arial"/>
                <w:sz w:val="18"/>
                <w:szCs w:val="18"/>
                <w:b w:val="1"/>
                <w:bCs w:val="1"/>
                <w:u w:val="single" w:color="auto"/>
                <w:color w:val="auto"/>
                <w:w w:val="87"/>
              </w:rPr>
              <w:t>5</w:t>
            </w:r>
          </w:p>
        </w:tc>
        <w:tc>
          <w:tcPr>
            <w:tcW w:w="20" w:type="dxa"/>
            <w:vAlign w:val="bottom"/>
            <w:tcBorders>
              <w:top w:val="single" w:sz="8" w:color="CCEEFF"/>
              <w:bottom w:val="single" w:sz="8" w:color="auto"/>
            </w:tcBorders>
          </w:tcPr>
          <w:p>
            <w:pPr>
              <w:spacing w:after="0"/>
              <w:rPr>
                <w:sz w:val="13"/>
                <w:szCs w:val="13"/>
                <w:color w:val="auto"/>
              </w:rPr>
            </w:pPr>
          </w:p>
        </w:tc>
        <w:tc>
          <w:tcPr>
            <w:tcW w:w="200" w:type="dxa"/>
            <w:vAlign w:val="bottom"/>
            <w:tcBorders>
              <w:top w:val="single" w:sz="8" w:color="CCEEFF"/>
            </w:tcBorders>
          </w:tcPr>
          <w:p>
            <w:pPr>
              <w:spacing w:after="0"/>
              <w:rPr>
                <w:sz w:val="13"/>
                <w:szCs w:val="13"/>
                <w:color w:val="auto"/>
              </w:rPr>
            </w:pPr>
          </w:p>
        </w:tc>
        <w:tc>
          <w:tcPr>
            <w:tcW w:w="2820" w:type="dxa"/>
            <w:vAlign w:val="bottom"/>
            <w:tcBorders>
              <w:top w:val="single" w:sz="8" w:color="CCEEFF"/>
            </w:tcBorders>
          </w:tcPr>
          <w:p>
            <w:pPr>
              <w:jc w:val="right"/>
              <w:spacing w:after="0" w:line="156" w:lineRule="exact"/>
              <w:rPr>
                <w:sz w:val="20"/>
                <w:szCs w:val="20"/>
                <w:color w:val="auto"/>
              </w:rPr>
            </w:pPr>
            <w:r>
              <w:rPr>
                <w:rFonts w:ascii="Arial" w:cs="Arial" w:eastAsia="Arial" w:hAnsi="Arial"/>
                <w:sz w:val="18"/>
                <w:szCs w:val="18"/>
                <w:color w:val="auto"/>
              </w:rPr>
              <w:t>5.0x</w:t>
            </w:r>
          </w:p>
        </w:tc>
        <w:tc>
          <w:tcPr>
            <w:tcW w:w="10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8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1"/>
        </w:trPr>
        <w:tc>
          <w:tcPr>
            <w:tcW w:w="7560" w:type="dxa"/>
            <w:vAlign w:val="bottom"/>
            <w:tcBorders>
              <w:bottom w:val="single" w:sz="8" w:color="CCEEFF"/>
            </w:tcBorders>
            <w:gridSpan w:val="6"/>
            <w:shd w:val="clear" w:color="auto" w:fill="CCEEFF"/>
          </w:tcPr>
          <w:p>
            <w:pPr>
              <w:spacing w:after="0" w:line="156" w:lineRule="exact"/>
              <w:rPr>
                <w:sz w:val="20"/>
                <w:szCs w:val="20"/>
                <w:color w:val="auto"/>
              </w:rPr>
            </w:pPr>
            <w:r>
              <w:rPr>
                <w:rFonts w:ascii="Arial" w:cs="Arial" w:eastAsia="Arial" w:hAnsi="Arial"/>
                <w:sz w:val="18"/>
                <w:szCs w:val="18"/>
                <w:color w:val="auto"/>
              </w:rPr>
              <w:t>Sage Therapeutics, Inc.</w:t>
            </w:r>
          </w:p>
        </w:tc>
        <w:tc>
          <w:tcPr>
            <w:tcW w:w="3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87"/>
              </w:rPr>
              <w:t>1.</w:t>
            </w:r>
            <w:r>
              <w:rPr>
                <w:rFonts w:ascii="Arial" w:cs="Arial" w:eastAsia="Arial" w:hAnsi="Arial"/>
                <w:sz w:val="18"/>
                <w:szCs w:val="18"/>
                <w:b w:val="1"/>
                <w:bCs w:val="1"/>
                <w:u w:val="single" w:color="auto"/>
                <w:color w:val="auto"/>
                <w:w w:val="87"/>
              </w:rPr>
              <w:t>7</w:t>
            </w: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82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color w:val="auto"/>
              </w:rPr>
              <w:t>4.4x</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560" w:type="dxa"/>
            <w:vAlign w:val="bottom"/>
            <w:tcBorders>
              <w:top w:val="single" w:sz="8" w:color="CCEEFF"/>
            </w:tcBorders>
            <w:gridSpan w:val="6"/>
          </w:tcPr>
          <w:p>
            <w:pPr>
              <w:spacing w:after="0"/>
              <w:rPr>
                <w:sz w:val="20"/>
                <w:szCs w:val="20"/>
                <w:color w:val="auto"/>
              </w:rPr>
            </w:pPr>
            <w:r>
              <w:rPr>
                <w:rFonts w:ascii="Arial" w:cs="Arial" w:eastAsia="Arial" w:hAnsi="Arial"/>
                <w:sz w:val="18"/>
                <w:szCs w:val="18"/>
                <w:b w:val="1"/>
                <w:bCs w:val="1"/>
                <w:color w:val="auto"/>
              </w:rPr>
              <w:t>Median:</w:t>
            </w:r>
          </w:p>
        </w:tc>
        <w:tc>
          <w:tcPr>
            <w:tcW w:w="3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82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4.4x</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(1) Apellis metrics are as of March 31, 2023 to reflect unaffected date prior to Apellis takeover interest rumors on April 2, 2023.</w:t>
      </w:r>
    </w:p>
    <w:p>
      <w:pPr>
        <w:spacing w:after="0" w:line="22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i w:val="1"/>
          <w:iCs w:val="1"/>
          <w:color w:val="auto"/>
        </w:rPr>
        <w:t>The disclosure under the section entitled “The Merger — Opinion of IVERIC’s Financial Advisors — Opinion of Centerview Partners LLC” is hereby amended and supplemented by adding the following bolded and double underlined language to the first table on page 60 of the Definitive Proxy Statement: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5"/>
              </w:rPr>
              <w:t>EV / 3-Year</w:t>
            </w:r>
          </w:p>
        </w:tc>
        <w:tc>
          <w:tcPr>
            <w:tcW w:w="0" w:type="dxa"/>
            <w:vAlign w:val="bottom"/>
          </w:tcPr>
          <w:p>
            <w:pPr>
              <w:spacing w:after="0"/>
              <w:rPr>
                <w:sz w:val="1"/>
                <w:szCs w:val="1"/>
                <w:color w:val="auto"/>
              </w:rPr>
            </w:pPr>
          </w:p>
        </w:tc>
      </w:tr>
      <w:tr>
        <w:trPr>
          <w:trHeight w:val="194"/>
        </w:trPr>
        <w:tc>
          <w:tcPr>
            <w:tcW w:w="1240" w:type="dxa"/>
            <w:vAlign w:val="bottom"/>
          </w:tcPr>
          <w:p>
            <w:pPr>
              <w:ind w:left="440"/>
              <w:spacing w:after="0" w:line="194" w:lineRule="exact"/>
              <w:rPr>
                <w:sz w:val="20"/>
                <w:szCs w:val="20"/>
                <w:color w:val="auto"/>
              </w:rPr>
            </w:pPr>
            <w:r>
              <w:rPr>
                <w:rFonts w:ascii="Arial" w:cs="Arial" w:eastAsia="Arial" w:hAnsi="Arial"/>
                <w:sz w:val="18"/>
                <w:szCs w:val="18"/>
                <w:b w:val="1"/>
                <w:bCs w:val="1"/>
                <w:color w:val="auto"/>
              </w:rPr>
              <w:t>Date</w:t>
            </w:r>
          </w:p>
        </w:tc>
        <w:tc>
          <w:tcPr>
            <w:tcW w:w="2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6"/>
          </w:tcPr>
          <w:p>
            <w:pPr>
              <w:spacing w:after="0" w:line="194" w:lineRule="exact"/>
              <w:rPr>
                <w:sz w:val="20"/>
                <w:szCs w:val="20"/>
                <w:color w:val="auto"/>
              </w:rPr>
            </w:pPr>
            <w:r>
              <w:rPr>
                <w:rFonts w:ascii="Arial" w:cs="Arial" w:eastAsia="Arial" w:hAnsi="Arial"/>
                <w:sz w:val="18"/>
                <w:szCs w:val="18"/>
                <w:b w:val="1"/>
                <w:bCs w:val="1"/>
                <w:color w:val="auto"/>
              </w:rPr>
              <w:t>Transaction</w:t>
            </w:r>
          </w:p>
        </w:tc>
        <w:tc>
          <w:tcPr>
            <w:tcW w:w="1500" w:type="dxa"/>
            <w:vAlign w:val="bottom"/>
            <w:gridSpan w:val="2"/>
          </w:tcPr>
          <w:p>
            <w:pPr>
              <w:jc w:val="center"/>
              <w:ind w:right="120"/>
              <w:spacing w:after="0" w:line="194" w:lineRule="exact"/>
              <w:rPr>
                <w:sz w:val="20"/>
                <w:szCs w:val="20"/>
                <w:color w:val="auto"/>
              </w:rPr>
            </w:pPr>
            <w:r>
              <w:rPr>
                <w:rFonts w:ascii="Arial" w:cs="Arial" w:eastAsia="Arial" w:hAnsi="Arial"/>
                <w:sz w:val="18"/>
                <w:szCs w:val="18"/>
                <w:b w:val="1"/>
                <w:bCs w:val="1"/>
                <w:color w:val="auto"/>
                <w:w w:val="91"/>
              </w:rPr>
              <w:t>Forward Revenue</w:t>
            </w:r>
          </w:p>
        </w:tc>
        <w:tc>
          <w:tcPr>
            <w:tcW w:w="0" w:type="dxa"/>
            <w:vAlign w:val="bottom"/>
          </w:tcPr>
          <w:p>
            <w:pPr>
              <w:spacing w:after="0"/>
              <w:rPr>
                <w:sz w:val="1"/>
                <w:szCs w:val="1"/>
                <w:color w:val="auto"/>
              </w:rPr>
            </w:pPr>
          </w:p>
        </w:tc>
      </w:tr>
      <w:tr>
        <w:trPr>
          <w:trHeight w:val="21"/>
        </w:trPr>
        <w:tc>
          <w:tcPr>
            <w:tcW w:w="1240" w:type="dxa"/>
            <w:vAlign w:val="bottom"/>
            <w:vMerge w:val="restart"/>
          </w:tcPr>
          <w:p>
            <w:pPr>
              <w:ind w:left="180"/>
              <w:spacing w:after="0" w:line="196" w:lineRule="exact"/>
              <w:rPr>
                <w:sz w:val="20"/>
                <w:szCs w:val="20"/>
                <w:color w:val="auto"/>
              </w:rPr>
            </w:pPr>
            <w:r>
              <w:rPr>
                <w:rFonts w:ascii="Arial" w:cs="Arial" w:eastAsia="Arial" w:hAnsi="Arial"/>
                <w:sz w:val="18"/>
                <w:szCs w:val="18"/>
                <w:b w:val="1"/>
                <w:bCs w:val="1"/>
                <w:color w:val="auto"/>
              </w:rPr>
              <w:t>Announced</w:t>
            </w:r>
          </w:p>
        </w:tc>
        <w:tc>
          <w:tcPr>
            <w:tcW w:w="220" w:type="dxa"/>
            <w:vAlign w:val="bottom"/>
          </w:tcPr>
          <w:p>
            <w:pPr>
              <w:spacing w:after="0" w:line="20" w:lineRule="exact"/>
              <w:rPr>
                <w:sz w:val="1"/>
                <w:szCs w:val="1"/>
                <w:color w:val="auto"/>
              </w:rPr>
            </w:pPr>
          </w:p>
        </w:tc>
        <w:tc>
          <w:tcPr>
            <w:tcW w:w="3140" w:type="dxa"/>
            <w:vAlign w:val="bottom"/>
            <w:vMerge w:val="restart"/>
          </w:tcPr>
          <w:p>
            <w:pPr>
              <w:ind w:left="1320"/>
              <w:spacing w:after="0" w:line="196" w:lineRule="exact"/>
              <w:rPr>
                <w:sz w:val="20"/>
                <w:szCs w:val="20"/>
                <w:color w:val="auto"/>
              </w:rPr>
            </w:pPr>
            <w:r>
              <w:rPr>
                <w:rFonts w:ascii="Arial" w:cs="Arial" w:eastAsia="Arial" w:hAnsi="Arial"/>
                <w:sz w:val="18"/>
                <w:szCs w:val="18"/>
                <w:b w:val="1"/>
                <w:bCs w:val="1"/>
                <w:color w:val="auto"/>
              </w:rPr>
              <w:t>Target</w:t>
            </w:r>
          </w:p>
        </w:tc>
        <w:tc>
          <w:tcPr>
            <w:tcW w:w="220" w:type="dxa"/>
            <w:vAlign w:val="bottom"/>
          </w:tcPr>
          <w:p>
            <w:pPr>
              <w:spacing w:after="0" w:line="20" w:lineRule="exact"/>
              <w:rPr>
                <w:sz w:val="1"/>
                <w:szCs w:val="1"/>
                <w:color w:val="auto"/>
              </w:rPr>
            </w:pPr>
          </w:p>
        </w:tc>
        <w:tc>
          <w:tcPr>
            <w:tcW w:w="3120" w:type="dxa"/>
            <w:vAlign w:val="bottom"/>
            <w:vMerge w:val="restart"/>
          </w:tcPr>
          <w:p>
            <w:pPr>
              <w:ind w:left="1220"/>
              <w:spacing w:after="0" w:line="196" w:lineRule="exact"/>
              <w:rPr>
                <w:sz w:val="20"/>
                <w:szCs w:val="20"/>
                <w:color w:val="auto"/>
              </w:rPr>
            </w:pPr>
            <w:r>
              <w:rPr>
                <w:rFonts w:ascii="Arial" w:cs="Arial" w:eastAsia="Arial" w:hAnsi="Arial"/>
                <w:sz w:val="18"/>
                <w:szCs w:val="18"/>
                <w:b w:val="1"/>
                <w:bCs w:val="1"/>
                <w:color w:val="auto"/>
              </w:rPr>
              <w:t>Acquiror</w:t>
            </w: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500" w:type="dxa"/>
            <w:vAlign w:val="bottom"/>
            <w:gridSpan w:val="2"/>
            <w:vMerge w:val="restart"/>
          </w:tcPr>
          <w:p>
            <w:pPr>
              <w:jc w:val="center"/>
              <w:ind w:right="120"/>
              <w:spacing w:after="0" w:line="196" w:lineRule="exact"/>
              <w:rPr>
                <w:sz w:val="20"/>
                <w:szCs w:val="20"/>
                <w:color w:val="auto"/>
              </w:rPr>
            </w:pPr>
            <w:r>
              <w:rPr>
                <w:rFonts w:ascii="Arial" w:cs="Arial" w:eastAsia="Arial" w:hAnsi="Arial"/>
                <w:sz w:val="18"/>
                <w:szCs w:val="18"/>
                <w:b w:val="1"/>
                <w:bCs w:val="1"/>
                <w:color w:val="auto"/>
                <w:w w:val="96"/>
              </w:rPr>
              <w:t>Multiple</w:t>
            </w: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31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31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gridSpan w:val="3"/>
          </w:tcPr>
          <w:p>
            <w:pPr>
              <w:spacing w:after="0" w:line="156" w:lineRule="exact"/>
              <w:rPr>
                <w:sz w:val="20"/>
                <w:szCs w:val="20"/>
                <w:color w:val="auto"/>
              </w:rPr>
            </w:pPr>
            <w:r>
              <w:rPr>
                <w:rFonts w:ascii="Arial" w:cs="Arial" w:eastAsia="Arial" w:hAnsi="Arial"/>
                <w:sz w:val="18"/>
                <w:szCs w:val="18"/>
                <w:b w:val="1"/>
                <w:bCs w:val="1"/>
                <w:color w:val="auto"/>
                <w:w w:val="94"/>
              </w:rPr>
              <w:t xml:space="preserve">Value </w:t>
            </w:r>
            <w:r>
              <w:rPr>
                <w:rFonts w:ascii="Arial" w:cs="Arial" w:eastAsia="Arial" w:hAnsi="Arial"/>
                <w:sz w:val="18"/>
                <w:szCs w:val="18"/>
                <w:b w:val="1"/>
                <w:bCs w:val="1"/>
                <w:u w:val="single" w:color="auto"/>
                <w:color w:val="auto"/>
                <w:w w:val="94"/>
              </w:rPr>
              <w:t>($</w:t>
            </w:r>
            <w:r>
              <w:rPr>
                <w:rFonts w:ascii="Arial" w:cs="Arial" w:eastAsia="Arial" w:hAnsi="Arial"/>
                <w:sz w:val="18"/>
                <w:szCs w:val="18"/>
                <w:b w:val="1"/>
                <w:bCs w:val="1"/>
                <w:color w:val="auto"/>
                <w:w w:val="94"/>
              </w:rPr>
              <w:t>bn)</w:t>
            </w:r>
          </w:p>
        </w:tc>
        <w:tc>
          <w:tcPr>
            <w:tcW w:w="18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12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14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31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00" w:type="dxa"/>
            <w:vAlign w:val="bottom"/>
            <w:tcBorders>
              <w:top w:val="single" w:sz="8" w:color="auto"/>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124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7"/>
                <w:szCs w:val="17"/>
                <w:color w:val="auto"/>
              </w:rPr>
              <w:t>03/13/23</w:t>
            </w:r>
          </w:p>
        </w:tc>
        <w:tc>
          <w:tcPr>
            <w:tcW w:w="3360" w:type="dxa"/>
            <w:vAlign w:val="bottom"/>
            <w:tcBorders>
              <w:top w:val="single" w:sz="8" w:color="CCEEFF"/>
            </w:tcBorders>
            <w:gridSpan w:val="2"/>
            <w:shd w:val="clear" w:color="auto" w:fill="CCEEFF"/>
          </w:tcPr>
          <w:p>
            <w:pPr>
              <w:ind w:left="220"/>
              <w:spacing w:after="0" w:line="149" w:lineRule="exact"/>
              <w:rPr>
                <w:sz w:val="20"/>
                <w:szCs w:val="20"/>
                <w:color w:val="auto"/>
              </w:rPr>
            </w:pPr>
            <w:r>
              <w:rPr>
                <w:rFonts w:ascii="Arial" w:cs="Arial" w:eastAsia="Arial" w:hAnsi="Arial"/>
                <w:sz w:val="17"/>
                <w:szCs w:val="17"/>
                <w:color w:val="auto"/>
              </w:rPr>
              <w:t>Provention Bio, Inc.</w:t>
            </w:r>
          </w:p>
        </w:tc>
        <w:tc>
          <w:tcPr>
            <w:tcW w:w="220" w:type="dxa"/>
            <w:vAlign w:val="bottom"/>
            <w:tcBorders>
              <w:top w:val="single" w:sz="8" w:color="CCEEFF"/>
            </w:tcBorders>
            <w:shd w:val="clear" w:color="auto" w:fill="CCEEFF"/>
          </w:tcPr>
          <w:p>
            <w:pPr>
              <w:spacing w:after="0"/>
              <w:rPr>
                <w:sz w:val="16"/>
                <w:szCs w:val="16"/>
                <w:color w:val="auto"/>
              </w:rPr>
            </w:pPr>
          </w:p>
        </w:tc>
        <w:tc>
          <w:tcPr>
            <w:tcW w:w="3120" w:type="dxa"/>
            <w:vAlign w:val="bottom"/>
            <w:tcBorders>
              <w:top w:val="single" w:sz="8" w:color="CCEEFF"/>
            </w:tcBorders>
            <w:shd w:val="clear" w:color="auto" w:fill="CCEEFF"/>
          </w:tcPr>
          <w:p>
            <w:pPr>
              <w:spacing w:after="0" w:line="149" w:lineRule="exact"/>
              <w:rPr>
                <w:sz w:val="20"/>
                <w:szCs w:val="20"/>
                <w:color w:val="auto"/>
              </w:rPr>
            </w:pPr>
            <w:r>
              <w:rPr>
                <w:rFonts w:ascii="Arial" w:cs="Arial" w:eastAsia="Arial" w:hAnsi="Arial"/>
                <w:sz w:val="17"/>
                <w:szCs w:val="17"/>
                <w:color w:val="auto"/>
              </w:rPr>
              <w:t>Sanofi S.A.</w:t>
            </w:r>
          </w:p>
        </w:tc>
        <w:tc>
          <w:tcPr>
            <w:tcW w:w="24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gridSpan w:val="6"/>
            <w:shd w:val="clear" w:color="auto" w:fill="CCEEFF"/>
          </w:tcPr>
          <w:p>
            <w:pPr>
              <w:jc w:val="right"/>
              <w:spacing w:after="0" w:line="149" w:lineRule="exact"/>
              <w:rPr>
                <w:sz w:val="20"/>
                <w:szCs w:val="20"/>
                <w:color w:val="auto"/>
              </w:rPr>
            </w:pPr>
            <w:r>
              <w:rPr>
                <w:rFonts w:ascii="Arial" w:cs="Arial" w:eastAsia="Arial" w:hAnsi="Arial"/>
                <w:sz w:val="17"/>
                <w:szCs w:val="17"/>
                <w:b w:val="1"/>
                <w:bCs w:val="1"/>
                <w:color w:val="auto"/>
              </w:rPr>
              <w:t>2.</w:t>
            </w:r>
            <w:r>
              <w:rPr>
                <w:rFonts w:ascii="Arial" w:cs="Arial" w:eastAsia="Arial" w:hAnsi="Arial"/>
                <w:sz w:val="17"/>
                <w:szCs w:val="17"/>
                <w:b w:val="1"/>
                <w:bCs w:val="1"/>
                <w:u w:val="single" w:color="auto"/>
                <w:color w:val="auto"/>
              </w:rPr>
              <w:t>7</w:t>
            </w:r>
          </w:p>
        </w:tc>
        <w:tc>
          <w:tcPr>
            <w:tcW w:w="22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CCEEFF"/>
            </w:tcBorders>
            <w:gridSpan w:val="2"/>
            <w:shd w:val="clear" w:color="auto" w:fill="CCEEFF"/>
          </w:tcPr>
          <w:p>
            <w:pPr>
              <w:jc w:val="right"/>
              <w:ind w:right="120"/>
              <w:spacing w:after="0" w:line="149" w:lineRule="exact"/>
              <w:rPr>
                <w:sz w:val="20"/>
                <w:szCs w:val="20"/>
                <w:color w:val="auto"/>
              </w:rPr>
            </w:pPr>
            <w:r>
              <w:rPr>
                <w:rFonts w:ascii="Arial" w:cs="Arial" w:eastAsia="Arial" w:hAnsi="Arial"/>
                <w:sz w:val="17"/>
                <w:szCs w:val="17"/>
                <w:color w:val="auto"/>
              </w:rPr>
              <w:t>6.4x</w:t>
            </w:r>
          </w:p>
        </w:tc>
        <w:tc>
          <w:tcPr>
            <w:tcW w:w="0" w:type="dxa"/>
            <w:vAlign w:val="bottom"/>
          </w:tcPr>
          <w:p>
            <w:pPr>
              <w:spacing w:after="0"/>
              <w:rPr>
                <w:sz w:val="1"/>
                <w:szCs w:val="1"/>
                <w:color w:val="auto"/>
              </w:rPr>
            </w:pPr>
          </w:p>
        </w:tc>
      </w:tr>
      <w:tr>
        <w:trPr>
          <w:trHeight w:val="155"/>
        </w:trPr>
        <w:tc>
          <w:tcPr>
            <w:tcW w:w="1240" w:type="dxa"/>
            <w:vAlign w:val="bottom"/>
            <w:tcBorders>
              <w:top w:val="single" w:sz="8" w:color="CCEEFF"/>
            </w:tcBorders>
          </w:tcPr>
          <w:p>
            <w:pPr>
              <w:spacing w:after="0" w:line="156" w:lineRule="exact"/>
              <w:rPr>
                <w:sz w:val="20"/>
                <w:szCs w:val="20"/>
                <w:color w:val="auto"/>
              </w:rPr>
            </w:pPr>
            <w:r>
              <w:rPr>
                <w:rFonts w:ascii="Arial" w:cs="Arial" w:eastAsia="Arial" w:hAnsi="Arial"/>
                <w:sz w:val="18"/>
                <w:szCs w:val="18"/>
                <w:color w:val="auto"/>
              </w:rPr>
              <w:t>08/08/22</w:t>
            </w:r>
          </w:p>
        </w:tc>
        <w:tc>
          <w:tcPr>
            <w:tcW w:w="3360" w:type="dxa"/>
            <w:vAlign w:val="bottom"/>
            <w:tcBorders>
              <w:top w:val="single" w:sz="8" w:color="CCEEFF"/>
            </w:tcBorders>
            <w:gridSpan w:val="2"/>
          </w:tcPr>
          <w:p>
            <w:pPr>
              <w:ind w:left="220"/>
              <w:spacing w:after="0" w:line="156" w:lineRule="exact"/>
              <w:rPr>
                <w:sz w:val="20"/>
                <w:szCs w:val="20"/>
                <w:color w:val="auto"/>
              </w:rPr>
            </w:pPr>
            <w:r>
              <w:rPr>
                <w:rFonts w:ascii="Arial" w:cs="Arial" w:eastAsia="Arial" w:hAnsi="Arial"/>
                <w:sz w:val="18"/>
                <w:szCs w:val="18"/>
                <w:color w:val="auto"/>
              </w:rPr>
              <w:t>Global Blood Therapeutics, Inc.</w:t>
            </w:r>
          </w:p>
        </w:tc>
        <w:tc>
          <w:tcPr>
            <w:tcW w:w="220" w:type="dxa"/>
            <w:vAlign w:val="bottom"/>
            <w:tcBorders>
              <w:top w:val="single" w:sz="8" w:color="CCEEFF"/>
            </w:tcBorders>
          </w:tcPr>
          <w:p>
            <w:pPr>
              <w:spacing w:after="0"/>
              <w:rPr>
                <w:sz w:val="13"/>
                <w:szCs w:val="13"/>
                <w:color w:val="auto"/>
              </w:rPr>
            </w:pPr>
          </w:p>
        </w:tc>
        <w:tc>
          <w:tcPr>
            <w:tcW w:w="3120" w:type="dxa"/>
            <w:vAlign w:val="bottom"/>
            <w:tcBorders>
              <w:top w:val="single" w:sz="8" w:color="CCEEFF"/>
            </w:tcBorders>
          </w:tcPr>
          <w:p>
            <w:pPr>
              <w:spacing w:after="0" w:line="156" w:lineRule="exact"/>
              <w:rPr>
                <w:sz w:val="20"/>
                <w:szCs w:val="20"/>
                <w:color w:val="auto"/>
              </w:rPr>
            </w:pPr>
            <w:r>
              <w:rPr>
                <w:rFonts w:ascii="Arial" w:cs="Arial" w:eastAsia="Arial" w:hAnsi="Arial"/>
                <w:sz w:val="18"/>
                <w:szCs w:val="18"/>
                <w:color w:val="auto"/>
              </w:rPr>
              <w:t>Pfizer Inc.</w:t>
            </w:r>
          </w:p>
        </w:tc>
        <w:tc>
          <w:tcPr>
            <w:tcW w:w="1360" w:type="dxa"/>
            <w:vAlign w:val="bottom"/>
            <w:tcBorders>
              <w:top w:val="single" w:sz="8" w:color="CCEEFF"/>
            </w:tcBorders>
            <w:gridSpan w:val="4"/>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gridSpan w:val="2"/>
          </w:tcPr>
          <w:p>
            <w:pPr>
              <w:jc w:val="right"/>
              <w:spacing w:after="0" w:line="156" w:lineRule="exact"/>
              <w:rPr>
                <w:sz w:val="20"/>
                <w:szCs w:val="20"/>
                <w:color w:val="auto"/>
              </w:rPr>
            </w:pPr>
            <w:r>
              <w:rPr>
                <w:rFonts w:ascii="Arial" w:cs="Arial" w:eastAsia="Arial" w:hAnsi="Arial"/>
                <w:sz w:val="18"/>
                <w:szCs w:val="18"/>
                <w:b w:val="1"/>
                <w:bCs w:val="1"/>
                <w:color w:val="auto"/>
                <w:w w:val="71"/>
              </w:rPr>
              <w:t>5.</w:t>
            </w:r>
            <w:r>
              <w:rPr>
                <w:rFonts w:ascii="Arial" w:cs="Arial" w:eastAsia="Arial" w:hAnsi="Arial"/>
                <w:sz w:val="18"/>
                <w:szCs w:val="18"/>
                <w:b w:val="1"/>
                <w:bCs w:val="1"/>
                <w:u w:val="single" w:color="auto"/>
                <w:color w:val="auto"/>
                <w:w w:val="71"/>
              </w:rPr>
              <w:t>5</w:t>
            </w:r>
          </w:p>
        </w:tc>
        <w:tc>
          <w:tcPr>
            <w:tcW w:w="220" w:type="dxa"/>
            <w:vAlign w:val="bottom"/>
            <w:tcBorders>
              <w:top w:val="single" w:sz="8" w:color="CCEEFF"/>
            </w:tcBorders>
          </w:tcPr>
          <w:p>
            <w:pPr>
              <w:spacing w:after="0"/>
              <w:rPr>
                <w:sz w:val="13"/>
                <w:szCs w:val="13"/>
                <w:color w:val="auto"/>
              </w:rPr>
            </w:pPr>
          </w:p>
        </w:tc>
        <w:tc>
          <w:tcPr>
            <w:tcW w:w="1500" w:type="dxa"/>
            <w:vAlign w:val="bottom"/>
            <w:tcBorders>
              <w:top w:val="single" w:sz="8" w:color="CCEEFF"/>
            </w:tcBorders>
            <w:gridSpan w:val="2"/>
          </w:tcPr>
          <w:p>
            <w:pPr>
              <w:jc w:val="right"/>
              <w:ind w:right="120"/>
              <w:spacing w:after="0" w:line="156" w:lineRule="exact"/>
              <w:rPr>
                <w:sz w:val="20"/>
                <w:szCs w:val="20"/>
                <w:color w:val="auto"/>
              </w:rPr>
            </w:pPr>
            <w:r>
              <w:rPr>
                <w:rFonts w:ascii="Arial" w:cs="Arial" w:eastAsia="Arial" w:hAnsi="Arial"/>
                <w:sz w:val="18"/>
                <w:szCs w:val="18"/>
                <w:color w:val="auto"/>
              </w:rPr>
              <w:t>7.3x</w:t>
            </w:r>
          </w:p>
        </w:tc>
        <w:tc>
          <w:tcPr>
            <w:tcW w:w="0" w:type="dxa"/>
            <w:vAlign w:val="bottom"/>
          </w:tcPr>
          <w:p>
            <w:pPr>
              <w:spacing w:after="0"/>
              <w:rPr>
                <w:sz w:val="1"/>
                <w:szCs w:val="1"/>
                <w:color w:val="auto"/>
              </w:rPr>
            </w:pPr>
          </w:p>
        </w:tc>
      </w:tr>
      <w:tr>
        <w:trPr>
          <w:trHeight w:val="21"/>
        </w:trPr>
        <w:tc>
          <w:tcPr>
            <w:tcW w:w="1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4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08/04/22</w:t>
            </w:r>
          </w:p>
        </w:tc>
        <w:tc>
          <w:tcPr>
            <w:tcW w:w="3360" w:type="dxa"/>
            <w:vAlign w:val="bottom"/>
            <w:tcBorders>
              <w:bottom w:val="single" w:sz="8" w:color="CCEEFF"/>
            </w:tcBorders>
            <w:gridSpan w:val="2"/>
            <w:shd w:val="clear" w:color="auto" w:fill="CCEEFF"/>
          </w:tcPr>
          <w:p>
            <w:pPr>
              <w:ind w:left="220"/>
              <w:spacing w:after="0" w:line="156" w:lineRule="exact"/>
              <w:rPr>
                <w:sz w:val="20"/>
                <w:szCs w:val="20"/>
                <w:color w:val="auto"/>
              </w:rPr>
            </w:pPr>
            <w:r>
              <w:rPr>
                <w:rFonts w:ascii="Arial" w:cs="Arial" w:eastAsia="Arial" w:hAnsi="Arial"/>
                <w:sz w:val="18"/>
                <w:szCs w:val="18"/>
                <w:color w:val="auto"/>
              </w:rPr>
              <w:t>ChemoCentryx, Inc.</w:t>
            </w:r>
          </w:p>
        </w:tc>
        <w:tc>
          <w:tcPr>
            <w:tcW w:w="220" w:type="dxa"/>
            <w:vAlign w:val="bottom"/>
            <w:tcBorders>
              <w:bottom w:val="single" w:sz="8" w:color="CCEEFF"/>
            </w:tcBorders>
            <w:shd w:val="clear" w:color="auto" w:fill="CCEEFF"/>
          </w:tcPr>
          <w:p>
            <w:pPr>
              <w:spacing w:after="0"/>
              <w:rPr>
                <w:sz w:val="17"/>
                <w:szCs w:val="17"/>
                <w:color w:val="auto"/>
              </w:rPr>
            </w:pPr>
          </w:p>
        </w:tc>
        <w:tc>
          <w:tcPr>
            <w:tcW w:w="312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Amgen Inc.</w:t>
            </w:r>
          </w:p>
        </w:tc>
        <w:tc>
          <w:tcPr>
            <w:tcW w:w="1360" w:type="dxa"/>
            <w:vAlign w:val="bottom"/>
            <w:tcBorders>
              <w:bottom w:val="single" w:sz="8" w:color="CCEEFF"/>
            </w:tcBorders>
            <w:gridSpan w:val="4"/>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1"/>
              </w:rPr>
              <w:t>3.</w:t>
            </w:r>
            <w:r>
              <w:rPr>
                <w:rFonts w:ascii="Arial" w:cs="Arial" w:eastAsia="Arial" w:hAnsi="Arial"/>
                <w:sz w:val="18"/>
                <w:szCs w:val="18"/>
                <w:b w:val="1"/>
                <w:bCs w:val="1"/>
                <w:u w:val="single" w:color="auto"/>
                <w:color w:val="auto"/>
                <w:w w:val="71"/>
              </w:rPr>
              <w:t>6</w:t>
            </w:r>
          </w:p>
        </w:tc>
        <w:tc>
          <w:tcPr>
            <w:tcW w:w="2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gridSpan w:val="2"/>
            <w:shd w:val="clear" w:color="auto" w:fill="CCEEFF"/>
          </w:tcPr>
          <w:p>
            <w:pPr>
              <w:jc w:val="right"/>
              <w:ind w:right="120"/>
              <w:spacing w:after="0" w:line="156" w:lineRule="exact"/>
              <w:rPr>
                <w:sz w:val="20"/>
                <w:szCs w:val="20"/>
                <w:color w:val="auto"/>
              </w:rPr>
            </w:pPr>
            <w:r>
              <w:rPr>
                <w:rFonts w:ascii="Arial" w:cs="Arial" w:eastAsia="Arial" w:hAnsi="Arial"/>
                <w:sz w:val="18"/>
                <w:szCs w:val="18"/>
                <w:color w:val="auto"/>
              </w:rPr>
              <w:t>6.4x</w:t>
            </w:r>
          </w:p>
        </w:tc>
        <w:tc>
          <w:tcPr>
            <w:tcW w:w="0" w:type="dxa"/>
            <w:vAlign w:val="bottom"/>
          </w:tcPr>
          <w:p>
            <w:pPr>
              <w:spacing w:after="0"/>
              <w:rPr>
                <w:sz w:val="1"/>
                <w:szCs w:val="1"/>
                <w:color w:val="auto"/>
              </w:rPr>
            </w:pPr>
          </w:p>
        </w:tc>
      </w:tr>
      <w:tr>
        <w:trPr>
          <w:trHeight w:val="155"/>
        </w:trPr>
        <w:tc>
          <w:tcPr>
            <w:tcW w:w="1240" w:type="dxa"/>
            <w:vAlign w:val="bottom"/>
          </w:tcPr>
          <w:p>
            <w:pPr>
              <w:spacing w:after="0" w:line="156" w:lineRule="exact"/>
              <w:rPr>
                <w:sz w:val="20"/>
                <w:szCs w:val="20"/>
                <w:color w:val="auto"/>
              </w:rPr>
            </w:pPr>
            <w:r>
              <w:rPr>
                <w:rFonts w:ascii="Arial" w:cs="Arial" w:eastAsia="Arial" w:hAnsi="Arial"/>
                <w:sz w:val="18"/>
                <w:szCs w:val="18"/>
                <w:color w:val="auto"/>
              </w:rPr>
              <w:t>01/19/22</w:t>
            </w:r>
          </w:p>
        </w:tc>
        <w:tc>
          <w:tcPr>
            <w:tcW w:w="3360" w:type="dxa"/>
            <w:vAlign w:val="bottom"/>
            <w:gridSpan w:val="2"/>
          </w:tcPr>
          <w:p>
            <w:pPr>
              <w:ind w:left="220"/>
              <w:spacing w:after="0" w:line="156" w:lineRule="exact"/>
              <w:rPr>
                <w:sz w:val="20"/>
                <w:szCs w:val="20"/>
                <w:color w:val="auto"/>
              </w:rPr>
            </w:pPr>
            <w:r>
              <w:rPr>
                <w:rFonts w:ascii="Arial" w:cs="Arial" w:eastAsia="Arial" w:hAnsi="Arial"/>
                <w:sz w:val="18"/>
                <w:szCs w:val="18"/>
                <w:color w:val="auto"/>
              </w:rPr>
              <w:t>Zogenix, Inc.</w:t>
            </w:r>
          </w:p>
        </w:tc>
        <w:tc>
          <w:tcPr>
            <w:tcW w:w="220" w:type="dxa"/>
            <w:vAlign w:val="bottom"/>
          </w:tcPr>
          <w:p>
            <w:pPr>
              <w:spacing w:after="0"/>
              <w:rPr>
                <w:sz w:val="13"/>
                <w:szCs w:val="13"/>
                <w:color w:val="auto"/>
              </w:rPr>
            </w:pPr>
          </w:p>
        </w:tc>
        <w:tc>
          <w:tcPr>
            <w:tcW w:w="3120" w:type="dxa"/>
            <w:vAlign w:val="bottom"/>
          </w:tcPr>
          <w:p>
            <w:pPr>
              <w:spacing w:after="0" w:line="156" w:lineRule="exact"/>
              <w:rPr>
                <w:sz w:val="20"/>
                <w:szCs w:val="20"/>
                <w:color w:val="auto"/>
              </w:rPr>
            </w:pPr>
            <w:r>
              <w:rPr>
                <w:rFonts w:ascii="Arial" w:cs="Arial" w:eastAsia="Arial" w:hAnsi="Arial"/>
                <w:sz w:val="18"/>
                <w:szCs w:val="18"/>
                <w:color w:val="auto"/>
              </w:rPr>
              <w:t>UCB Pharma</w:t>
            </w:r>
          </w:p>
        </w:tc>
        <w:tc>
          <w:tcPr>
            <w:tcW w:w="1380" w:type="dxa"/>
            <w:vAlign w:val="bottom"/>
            <w:gridSpan w:val="5"/>
          </w:tcPr>
          <w:p>
            <w:pPr>
              <w:spacing w:after="0"/>
              <w:rPr>
                <w:sz w:val="13"/>
                <w:szCs w:val="13"/>
                <w:color w:val="auto"/>
              </w:rPr>
            </w:pPr>
          </w:p>
        </w:tc>
        <w:tc>
          <w:tcPr>
            <w:tcW w:w="20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auto"/>
                <w:w w:val="71"/>
              </w:rPr>
              <w:t>1.</w:t>
            </w:r>
            <w:r>
              <w:rPr>
                <w:rFonts w:ascii="Arial" w:cs="Arial" w:eastAsia="Arial" w:hAnsi="Arial"/>
                <w:sz w:val="18"/>
                <w:szCs w:val="18"/>
                <w:b w:val="1"/>
                <w:bCs w:val="1"/>
                <w:u w:val="single" w:color="auto"/>
                <w:color w:val="auto"/>
                <w:w w:val="71"/>
              </w:rPr>
              <w:t>4</w:t>
            </w:r>
          </w:p>
        </w:tc>
        <w:tc>
          <w:tcPr>
            <w:tcW w:w="220" w:type="dxa"/>
            <w:vAlign w:val="bottom"/>
          </w:tcPr>
          <w:p>
            <w:pPr>
              <w:spacing w:after="0"/>
              <w:rPr>
                <w:sz w:val="13"/>
                <w:szCs w:val="13"/>
                <w:color w:val="auto"/>
              </w:rPr>
            </w:pPr>
          </w:p>
        </w:tc>
        <w:tc>
          <w:tcPr>
            <w:tcW w:w="1500" w:type="dxa"/>
            <w:vAlign w:val="bottom"/>
            <w:gridSpan w:val="2"/>
          </w:tcPr>
          <w:p>
            <w:pPr>
              <w:jc w:val="right"/>
              <w:ind w:right="120"/>
              <w:spacing w:after="0" w:line="156" w:lineRule="exact"/>
              <w:rPr>
                <w:sz w:val="20"/>
                <w:szCs w:val="20"/>
                <w:color w:val="auto"/>
              </w:rPr>
            </w:pPr>
            <w:r>
              <w:rPr>
                <w:rFonts w:ascii="Arial" w:cs="Arial" w:eastAsia="Arial" w:hAnsi="Arial"/>
                <w:sz w:val="18"/>
                <w:szCs w:val="18"/>
                <w:color w:val="auto"/>
              </w:rPr>
              <w:t>3.6x</w:t>
            </w: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4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09/08/21</w:t>
            </w:r>
          </w:p>
        </w:tc>
        <w:tc>
          <w:tcPr>
            <w:tcW w:w="3360" w:type="dxa"/>
            <w:vAlign w:val="bottom"/>
            <w:tcBorders>
              <w:bottom w:val="single" w:sz="8" w:color="CCEEFF"/>
            </w:tcBorders>
            <w:gridSpan w:val="2"/>
            <w:shd w:val="clear" w:color="auto" w:fill="CCEEFF"/>
          </w:tcPr>
          <w:p>
            <w:pPr>
              <w:ind w:left="220"/>
              <w:spacing w:after="0" w:line="156" w:lineRule="exact"/>
              <w:rPr>
                <w:sz w:val="20"/>
                <w:szCs w:val="20"/>
                <w:color w:val="auto"/>
              </w:rPr>
            </w:pPr>
            <w:r>
              <w:rPr>
                <w:rFonts w:ascii="Arial" w:cs="Arial" w:eastAsia="Arial" w:hAnsi="Arial"/>
                <w:sz w:val="18"/>
                <w:szCs w:val="18"/>
                <w:color w:val="auto"/>
              </w:rPr>
              <w:t>Kadmon Holdings, Inc.</w:t>
            </w:r>
          </w:p>
        </w:tc>
        <w:tc>
          <w:tcPr>
            <w:tcW w:w="220" w:type="dxa"/>
            <w:vAlign w:val="bottom"/>
            <w:tcBorders>
              <w:bottom w:val="single" w:sz="8" w:color="CCEEFF"/>
            </w:tcBorders>
            <w:shd w:val="clear" w:color="auto" w:fill="CCEEFF"/>
          </w:tcPr>
          <w:p>
            <w:pPr>
              <w:spacing w:after="0"/>
              <w:rPr>
                <w:sz w:val="17"/>
                <w:szCs w:val="17"/>
                <w:color w:val="auto"/>
              </w:rPr>
            </w:pPr>
          </w:p>
        </w:tc>
        <w:tc>
          <w:tcPr>
            <w:tcW w:w="312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Sanofi S.A.</w:t>
            </w:r>
          </w:p>
        </w:tc>
        <w:tc>
          <w:tcPr>
            <w:tcW w:w="1360" w:type="dxa"/>
            <w:vAlign w:val="bottom"/>
            <w:tcBorders>
              <w:bottom w:val="single" w:sz="8" w:color="CCEEFF"/>
            </w:tcBorders>
            <w:gridSpan w:val="4"/>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1"/>
              </w:rPr>
              <w:t>1.</w:t>
            </w:r>
            <w:r>
              <w:rPr>
                <w:rFonts w:ascii="Arial" w:cs="Arial" w:eastAsia="Arial" w:hAnsi="Arial"/>
                <w:sz w:val="18"/>
                <w:szCs w:val="18"/>
                <w:b w:val="1"/>
                <w:bCs w:val="1"/>
                <w:u w:val="single" w:color="auto"/>
                <w:color w:val="auto"/>
                <w:w w:val="71"/>
              </w:rPr>
              <w:t>8</w:t>
            </w:r>
          </w:p>
        </w:tc>
        <w:tc>
          <w:tcPr>
            <w:tcW w:w="2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gridSpan w:val="2"/>
            <w:shd w:val="clear" w:color="auto" w:fill="CCEEFF"/>
          </w:tcPr>
          <w:p>
            <w:pPr>
              <w:jc w:val="right"/>
              <w:ind w:right="120"/>
              <w:spacing w:after="0" w:line="156" w:lineRule="exact"/>
              <w:rPr>
                <w:sz w:val="20"/>
                <w:szCs w:val="20"/>
                <w:color w:val="auto"/>
              </w:rPr>
            </w:pPr>
            <w:r>
              <w:rPr>
                <w:rFonts w:ascii="Arial" w:cs="Arial" w:eastAsia="Arial" w:hAnsi="Arial"/>
                <w:sz w:val="18"/>
                <w:szCs w:val="18"/>
                <w:color w:val="auto"/>
              </w:rPr>
              <w:t>8.3x</w:t>
            </w:r>
          </w:p>
        </w:tc>
        <w:tc>
          <w:tcPr>
            <w:tcW w:w="0" w:type="dxa"/>
            <w:vAlign w:val="bottom"/>
          </w:tcPr>
          <w:p>
            <w:pPr>
              <w:spacing w:after="0"/>
              <w:rPr>
                <w:sz w:val="1"/>
                <w:szCs w:val="1"/>
                <w:color w:val="auto"/>
              </w:rPr>
            </w:pPr>
          </w:p>
        </w:tc>
      </w:tr>
      <w:tr>
        <w:trPr>
          <w:trHeight w:val="155"/>
        </w:trPr>
        <w:tc>
          <w:tcPr>
            <w:tcW w:w="1240" w:type="dxa"/>
            <w:vAlign w:val="bottom"/>
          </w:tcPr>
          <w:p>
            <w:pPr>
              <w:spacing w:after="0" w:line="156" w:lineRule="exact"/>
              <w:rPr>
                <w:sz w:val="20"/>
                <w:szCs w:val="20"/>
                <w:color w:val="auto"/>
              </w:rPr>
            </w:pPr>
            <w:r>
              <w:rPr>
                <w:rFonts w:ascii="Arial" w:cs="Arial" w:eastAsia="Arial" w:hAnsi="Arial"/>
                <w:sz w:val="18"/>
                <w:szCs w:val="18"/>
                <w:color w:val="auto"/>
              </w:rPr>
              <w:t>02/03/21</w:t>
            </w:r>
          </w:p>
        </w:tc>
        <w:tc>
          <w:tcPr>
            <w:tcW w:w="3360" w:type="dxa"/>
            <w:vAlign w:val="bottom"/>
            <w:gridSpan w:val="2"/>
          </w:tcPr>
          <w:p>
            <w:pPr>
              <w:ind w:left="220"/>
              <w:spacing w:after="0" w:line="156" w:lineRule="exact"/>
              <w:rPr>
                <w:sz w:val="20"/>
                <w:szCs w:val="20"/>
                <w:color w:val="auto"/>
              </w:rPr>
            </w:pPr>
            <w:r>
              <w:rPr>
                <w:rFonts w:ascii="Arial" w:cs="Arial" w:eastAsia="Arial" w:hAnsi="Arial"/>
                <w:sz w:val="18"/>
                <w:szCs w:val="18"/>
                <w:color w:val="auto"/>
              </w:rPr>
              <w:t>GW Pharmaceuticals plc</w:t>
            </w:r>
          </w:p>
        </w:tc>
        <w:tc>
          <w:tcPr>
            <w:tcW w:w="220" w:type="dxa"/>
            <w:vAlign w:val="bottom"/>
          </w:tcPr>
          <w:p>
            <w:pPr>
              <w:spacing w:after="0"/>
              <w:rPr>
                <w:sz w:val="13"/>
                <w:szCs w:val="13"/>
                <w:color w:val="auto"/>
              </w:rPr>
            </w:pPr>
          </w:p>
        </w:tc>
        <w:tc>
          <w:tcPr>
            <w:tcW w:w="3120" w:type="dxa"/>
            <w:vAlign w:val="bottom"/>
          </w:tcPr>
          <w:p>
            <w:pPr>
              <w:spacing w:after="0" w:line="156" w:lineRule="exact"/>
              <w:rPr>
                <w:sz w:val="20"/>
                <w:szCs w:val="20"/>
                <w:color w:val="auto"/>
              </w:rPr>
            </w:pPr>
            <w:r>
              <w:rPr>
                <w:rFonts w:ascii="Arial" w:cs="Arial" w:eastAsia="Arial" w:hAnsi="Arial"/>
                <w:sz w:val="18"/>
                <w:szCs w:val="18"/>
                <w:color w:val="auto"/>
              </w:rPr>
              <w:t>Jazz Pharmaceuticals plc</w:t>
            </w:r>
          </w:p>
        </w:tc>
        <w:tc>
          <w:tcPr>
            <w:tcW w:w="1380" w:type="dxa"/>
            <w:vAlign w:val="bottom"/>
            <w:gridSpan w:val="5"/>
          </w:tcPr>
          <w:p>
            <w:pPr>
              <w:spacing w:after="0"/>
              <w:rPr>
                <w:sz w:val="13"/>
                <w:szCs w:val="13"/>
                <w:color w:val="auto"/>
              </w:rPr>
            </w:pPr>
          </w:p>
        </w:tc>
        <w:tc>
          <w:tcPr>
            <w:tcW w:w="20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auto"/>
                <w:w w:val="71"/>
              </w:rPr>
              <w:t>6.</w:t>
            </w:r>
            <w:r>
              <w:rPr>
                <w:rFonts w:ascii="Arial" w:cs="Arial" w:eastAsia="Arial" w:hAnsi="Arial"/>
                <w:sz w:val="18"/>
                <w:szCs w:val="18"/>
                <w:b w:val="1"/>
                <w:bCs w:val="1"/>
                <w:u w:val="single" w:color="auto"/>
                <w:color w:val="auto"/>
                <w:w w:val="71"/>
              </w:rPr>
              <w:t>7</w:t>
            </w:r>
          </w:p>
        </w:tc>
        <w:tc>
          <w:tcPr>
            <w:tcW w:w="220" w:type="dxa"/>
            <w:vAlign w:val="bottom"/>
          </w:tcPr>
          <w:p>
            <w:pPr>
              <w:spacing w:after="0"/>
              <w:rPr>
                <w:sz w:val="13"/>
                <w:szCs w:val="13"/>
                <w:color w:val="auto"/>
              </w:rPr>
            </w:pPr>
          </w:p>
        </w:tc>
        <w:tc>
          <w:tcPr>
            <w:tcW w:w="1500" w:type="dxa"/>
            <w:vAlign w:val="bottom"/>
            <w:gridSpan w:val="2"/>
          </w:tcPr>
          <w:p>
            <w:pPr>
              <w:jc w:val="right"/>
              <w:ind w:right="120"/>
              <w:spacing w:after="0" w:line="156" w:lineRule="exact"/>
              <w:rPr>
                <w:sz w:val="20"/>
                <w:szCs w:val="20"/>
                <w:color w:val="auto"/>
              </w:rPr>
            </w:pPr>
            <w:r>
              <w:rPr>
                <w:rFonts w:ascii="Arial" w:cs="Arial" w:eastAsia="Arial" w:hAnsi="Arial"/>
                <w:sz w:val="18"/>
                <w:szCs w:val="18"/>
                <w:color w:val="auto"/>
              </w:rPr>
              <w:t>6.0x</w:t>
            </w: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4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02/01/21</w:t>
            </w:r>
          </w:p>
        </w:tc>
        <w:tc>
          <w:tcPr>
            <w:tcW w:w="3360" w:type="dxa"/>
            <w:vAlign w:val="bottom"/>
            <w:tcBorders>
              <w:bottom w:val="single" w:sz="8" w:color="CCEEFF"/>
            </w:tcBorders>
            <w:gridSpan w:val="2"/>
            <w:shd w:val="clear" w:color="auto" w:fill="CCEEFF"/>
          </w:tcPr>
          <w:p>
            <w:pPr>
              <w:ind w:left="220"/>
              <w:spacing w:after="0" w:line="156" w:lineRule="exact"/>
              <w:rPr>
                <w:sz w:val="20"/>
                <w:szCs w:val="20"/>
                <w:color w:val="auto"/>
              </w:rPr>
            </w:pPr>
            <w:r>
              <w:rPr>
                <w:rFonts w:ascii="Arial" w:cs="Arial" w:eastAsia="Arial" w:hAnsi="Arial"/>
                <w:sz w:val="18"/>
                <w:szCs w:val="18"/>
                <w:color w:val="auto"/>
              </w:rPr>
              <w:t>Viela Bio, Inc.</w:t>
            </w:r>
          </w:p>
        </w:tc>
        <w:tc>
          <w:tcPr>
            <w:tcW w:w="220" w:type="dxa"/>
            <w:vAlign w:val="bottom"/>
            <w:tcBorders>
              <w:bottom w:val="single" w:sz="8" w:color="CCEEFF"/>
            </w:tcBorders>
            <w:shd w:val="clear" w:color="auto" w:fill="CCEEFF"/>
          </w:tcPr>
          <w:p>
            <w:pPr>
              <w:spacing w:after="0"/>
              <w:rPr>
                <w:sz w:val="17"/>
                <w:szCs w:val="17"/>
                <w:color w:val="auto"/>
              </w:rPr>
            </w:pPr>
          </w:p>
        </w:tc>
        <w:tc>
          <w:tcPr>
            <w:tcW w:w="312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Horizon Therapeutics plc</w:t>
            </w:r>
          </w:p>
        </w:tc>
        <w:tc>
          <w:tcPr>
            <w:tcW w:w="1360" w:type="dxa"/>
            <w:vAlign w:val="bottom"/>
            <w:tcBorders>
              <w:bottom w:val="single" w:sz="8" w:color="CCEEFF"/>
            </w:tcBorders>
            <w:gridSpan w:val="4"/>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1"/>
              </w:rPr>
              <w:t>2.</w:t>
            </w:r>
            <w:r>
              <w:rPr>
                <w:rFonts w:ascii="Arial" w:cs="Arial" w:eastAsia="Arial" w:hAnsi="Arial"/>
                <w:sz w:val="18"/>
                <w:szCs w:val="18"/>
                <w:b w:val="1"/>
                <w:bCs w:val="1"/>
                <w:u w:val="single" w:color="auto"/>
                <w:color w:val="auto"/>
                <w:w w:val="71"/>
              </w:rPr>
              <w:t>7</w:t>
            </w:r>
          </w:p>
        </w:tc>
        <w:tc>
          <w:tcPr>
            <w:tcW w:w="2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gridSpan w:val="2"/>
            <w:shd w:val="clear" w:color="auto" w:fill="CCEEFF"/>
          </w:tcPr>
          <w:p>
            <w:pPr>
              <w:jc w:val="right"/>
              <w:ind w:right="120"/>
              <w:spacing w:after="0" w:line="156" w:lineRule="exact"/>
              <w:rPr>
                <w:sz w:val="20"/>
                <w:szCs w:val="20"/>
                <w:color w:val="auto"/>
              </w:rPr>
            </w:pPr>
            <w:r>
              <w:rPr>
                <w:rFonts w:ascii="Arial" w:cs="Arial" w:eastAsia="Arial" w:hAnsi="Arial"/>
                <w:sz w:val="18"/>
                <w:szCs w:val="18"/>
                <w:color w:val="auto"/>
              </w:rPr>
              <w:t>12.0x</w:t>
            </w:r>
          </w:p>
        </w:tc>
        <w:tc>
          <w:tcPr>
            <w:tcW w:w="0" w:type="dxa"/>
            <w:vAlign w:val="bottom"/>
          </w:tcPr>
          <w:p>
            <w:pPr>
              <w:spacing w:after="0"/>
              <w:rPr>
                <w:sz w:val="1"/>
                <w:szCs w:val="1"/>
                <w:color w:val="auto"/>
              </w:rPr>
            </w:pPr>
          </w:p>
        </w:tc>
      </w:tr>
      <w:tr>
        <w:trPr>
          <w:trHeight w:val="155"/>
        </w:trPr>
        <w:tc>
          <w:tcPr>
            <w:tcW w:w="1240" w:type="dxa"/>
            <w:vAlign w:val="bottom"/>
          </w:tcPr>
          <w:p>
            <w:pPr>
              <w:spacing w:after="0" w:line="156" w:lineRule="exact"/>
              <w:rPr>
                <w:sz w:val="20"/>
                <w:szCs w:val="20"/>
                <w:color w:val="auto"/>
              </w:rPr>
            </w:pPr>
            <w:r>
              <w:rPr>
                <w:rFonts w:ascii="Arial" w:cs="Arial" w:eastAsia="Arial" w:hAnsi="Arial"/>
                <w:sz w:val="18"/>
                <w:szCs w:val="18"/>
                <w:color w:val="auto"/>
              </w:rPr>
              <w:t>05/05/20</w:t>
            </w:r>
          </w:p>
        </w:tc>
        <w:tc>
          <w:tcPr>
            <w:tcW w:w="3360" w:type="dxa"/>
            <w:vAlign w:val="bottom"/>
            <w:gridSpan w:val="2"/>
          </w:tcPr>
          <w:p>
            <w:pPr>
              <w:ind w:left="220"/>
              <w:spacing w:after="0" w:line="156" w:lineRule="exact"/>
              <w:rPr>
                <w:sz w:val="20"/>
                <w:szCs w:val="20"/>
                <w:color w:val="auto"/>
              </w:rPr>
            </w:pPr>
            <w:r>
              <w:rPr>
                <w:rFonts w:ascii="Arial" w:cs="Arial" w:eastAsia="Arial" w:hAnsi="Arial"/>
                <w:sz w:val="18"/>
                <w:szCs w:val="18"/>
                <w:color w:val="auto"/>
              </w:rPr>
              <w:t>Portola Pharmaceuticals, Inc.</w:t>
            </w:r>
          </w:p>
        </w:tc>
        <w:tc>
          <w:tcPr>
            <w:tcW w:w="220" w:type="dxa"/>
            <w:vAlign w:val="bottom"/>
          </w:tcPr>
          <w:p>
            <w:pPr>
              <w:spacing w:after="0"/>
              <w:rPr>
                <w:sz w:val="13"/>
                <w:szCs w:val="13"/>
                <w:color w:val="auto"/>
              </w:rPr>
            </w:pPr>
          </w:p>
        </w:tc>
        <w:tc>
          <w:tcPr>
            <w:tcW w:w="3120" w:type="dxa"/>
            <w:vAlign w:val="bottom"/>
          </w:tcPr>
          <w:p>
            <w:pPr>
              <w:spacing w:after="0" w:line="156" w:lineRule="exact"/>
              <w:rPr>
                <w:sz w:val="20"/>
                <w:szCs w:val="20"/>
                <w:color w:val="auto"/>
              </w:rPr>
            </w:pPr>
            <w:r>
              <w:rPr>
                <w:rFonts w:ascii="Arial" w:cs="Arial" w:eastAsia="Arial" w:hAnsi="Arial"/>
                <w:sz w:val="18"/>
                <w:szCs w:val="18"/>
                <w:color w:val="auto"/>
              </w:rPr>
              <w:t>Alexion Pharmaceuticals, Inc.</w:t>
            </w:r>
          </w:p>
        </w:tc>
        <w:tc>
          <w:tcPr>
            <w:tcW w:w="1380" w:type="dxa"/>
            <w:vAlign w:val="bottom"/>
            <w:gridSpan w:val="5"/>
          </w:tcPr>
          <w:p>
            <w:pPr>
              <w:spacing w:after="0"/>
              <w:rPr>
                <w:sz w:val="13"/>
                <w:szCs w:val="13"/>
                <w:color w:val="auto"/>
              </w:rPr>
            </w:pPr>
          </w:p>
        </w:tc>
        <w:tc>
          <w:tcPr>
            <w:tcW w:w="20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auto"/>
                <w:w w:val="71"/>
              </w:rPr>
              <w:t>1.</w:t>
            </w:r>
            <w:r>
              <w:rPr>
                <w:rFonts w:ascii="Arial" w:cs="Arial" w:eastAsia="Arial" w:hAnsi="Arial"/>
                <w:sz w:val="18"/>
                <w:szCs w:val="18"/>
                <w:b w:val="1"/>
                <w:bCs w:val="1"/>
                <w:u w:val="single" w:color="auto"/>
                <w:color w:val="auto"/>
                <w:w w:val="71"/>
              </w:rPr>
              <w:t>6</w:t>
            </w:r>
          </w:p>
        </w:tc>
        <w:tc>
          <w:tcPr>
            <w:tcW w:w="220" w:type="dxa"/>
            <w:vAlign w:val="bottom"/>
          </w:tcPr>
          <w:p>
            <w:pPr>
              <w:spacing w:after="0"/>
              <w:rPr>
                <w:sz w:val="13"/>
                <w:szCs w:val="13"/>
                <w:color w:val="auto"/>
              </w:rPr>
            </w:pPr>
          </w:p>
        </w:tc>
        <w:tc>
          <w:tcPr>
            <w:tcW w:w="1500" w:type="dxa"/>
            <w:vAlign w:val="bottom"/>
            <w:gridSpan w:val="2"/>
          </w:tcPr>
          <w:p>
            <w:pPr>
              <w:jc w:val="right"/>
              <w:ind w:right="120"/>
              <w:spacing w:after="0" w:line="156" w:lineRule="exact"/>
              <w:rPr>
                <w:sz w:val="20"/>
                <w:szCs w:val="20"/>
                <w:color w:val="auto"/>
              </w:rPr>
            </w:pPr>
            <w:r>
              <w:rPr>
                <w:rFonts w:ascii="Arial" w:cs="Arial" w:eastAsia="Arial" w:hAnsi="Arial"/>
                <w:sz w:val="18"/>
                <w:szCs w:val="18"/>
                <w:color w:val="auto"/>
              </w:rPr>
              <w:t>4.4x</w:t>
            </w:r>
          </w:p>
        </w:tc>
        <w:tc>
          <w:tcPr>
            <w:tcW w:w="0" w:type="dxa"/>
            <w:vAlign w:val="bottom"/>
          </w:tcPr>
          <w:p>
            <w:pPr>
              <w:spacing w:after="0"/>
              <w:rPr>
                <w:sz w:val="1"/>
                <w:szCs w:val="1"/>
                <w:color w:val="auto"/>
              </w:rPr>
            </w:pPr>
          </w:p>
        </w:tc>
      </w:tr>
      <w:tr>
        <w:trPr>
          <w:trHeight w:val="20"/>
        </w:trPr>
        <w:tc>
          <w:tcPr>
            <w:tcW w:w="1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Median:</w:t>
            </w:r>
          </w:p>
        </w:tc>
        <w:tc>
          <w:tcPr>
            <w:tcW w:w="22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b w:val="1"/>
                <w:bCs w:val="1"/>
                <w:color w:val="auto"/>
              </w:rPr>
              <w:t>6.4x</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Financial Projections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The disclosure under the section entitled “The Merger — Certain Financial Projections” is hereby amended and supplemented by adding the following language after the table on page 64 of the Definitive Proxy Statement:</w:t>
      </w:r>
    </w:p>
    <w:p>
      <w:pPr>
        <w:spacing w:after="0" w:line="170"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In connection with preparing the 2023 Management Projections, IVERIC’s senior management prepared certain non-public, unaudited, non-risk adjusted, prospective financial information for fiscal years 2023 through 2038 (which we refer to as the “</w:t>
      </w:r>
      <w:r>
        <w:rPr>
          <w:rFonts w:ascii="Arial" w:cs="Arial" w:eastAsia="Arial" w:hAnsi="Arial"/>
          <w:sz w:val="16"/>
          <w:szCs w:val="16"/>
          <w:u w:val="single" w:color="auto"/>
          <w:color w:val="auto"/>
        </w:rPr>
        <w:t>2023 Non-Risk Adjusted Projections</w:t>
      </w:r>
      <w:r>
        <w:rPr>
          <w:rFonts w:ascii="Arial" w:cs="Arial" w:eastAsia="Arial" w:hAnsi="Arial"/>
          <w:sz w:val="16"/>
          <w:szCs w:val="16"/>
          <w:color w:val="auto"/>
        </w:rPr>
        <w:t>”). The 2023 Non-Risk Adjusted Projections were used solely to create the 2023 Management Projections and were not used or relied upon for any other purpose.</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The following table presents a summary of the 2023 Non-Risk Adjusted Projections: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gridSpan w:val="11"/>
          </w:tcPr>
          <w:p>
            <w:pPr>
              <w:jc w:val="right"/>
              <w:ind w:right="180"/>
              <w:spacing w:after="0"/>
              <w:rPr>
                <w:sz w:val="20"/>
                <w:szCs w:val="20"/>
                <w:color w:val="auto"/>
              </w:rPr>
            </w:pPr>
            <w:r>
              <w:rPr>
                <w:rFonts w:ascii="Arial" w:cs="Arial" w:eastAsia="Arial" w:hAnsi="Arial"/>
                <w:sz w:val="18"/>
                <w:szCs w:val="18"/>
                <w:b w:val="1"/>
                <w:bCs w:val="1"/>
                <w:color w:val="auto"/>
                <w:w w:val="91"/>
              </w:rPr>
              <w:t>2023 Non-Risk Adjusted Projections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7"/>
          </w:tcPr>
          <w:p>
            <w:pPr>
              <w:jc w:val="right"/>
              <w:spacing w:after="0"/>
              <w:rPr>
                <w:sz w:val="20"/>
                <w:szCs w:val="20"/>
                <w:color w:val="auto"/>
              </w:rPr>
            </w:pPr>
            <w:r>
              <w:rPr>
                <w:rFonts w:ascii="Arial" w:cs="Arial" w:eastAsia="Arial" w:hAnsi="Arial"/>
                <w:sz w:val="18"/>
                <w:szCs w:val="18"/>
                <w:color w:val="auto"/>
              </w:rPr>
              <w:t>(Amounts in Millions)</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3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2"/>
          </w:tcPr>
          <w:p>
            <w:pPr>
              <w:jc w:val="right"/>
              <w:spacing w:after="0"/>
              <w:rPr>
                <w:sz w:val="20"/>
                <w:szCs w:val="20"/>
                <w:color w:val="auto"/>
              </w:rPr>
            </w:pPr>
            <w:r>
              <w:rPr>
                <w:rFonts w:ascii="Arial" w:cs="Arial" w:eastAsia="Arial" w:hAnsi="Arial"/>
                <w:sz w:val="18"/>
                <w:szCs w:val="18"/>
                <w:b w:val="1"/>
                <w:bCs w:val="1"/>
                <w:color w:val="auto"/>
              </w:rPr>
              <w:t>Fiscal year ended December 31,</w:t>
            </w: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2024</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2025</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2026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2028</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2029</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2030</w:t>
            </w:r>
          </w:p>
        </w:tc>
        <w:tc>
          <w:tcPr>
            <w:tcW w:w="100" w:type="dxa"/>
            <w:vAlign w:val="bottom"/>
            <w:tcBorders>
              <w:bottom w:val="single" w:sz="8" w:color="CCEEFF"/>
            </w:tcBorders>
          </w:tcPr>
          <w:p>
            <w:pPr>
              <w:spacing w:after="0"/>
              <w:rPr>
                <w:sz w:val="19"/>
                <w:szCs w:val="19"/>
                <w:color w:val="auto"/>
              </w:rPr>
            </w:pPr>
          </w:p>
        </w:tc>
      </w:tr>
      <w:tr>
        <w:trPr>
          <w:trHeight w:val="210"/>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w:t>
            </w:r>
          </w:p>
        </w:tc>
        <w:tc>
          <w:tcPr>
            <w:tcW w:w="100" w:type="dxa"/>
            <w:vAlign w:val="bottom"/>
            <w:shd w:val="clear" w:color="auto" w:fill="CCEEFF"/>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Partnership Economics (Ex-US)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156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535</w:t>
            </w:r>
          </w:p>
        </w:tc>
        <w:tc>
          <w:tcPr>
            <w:tcW w:w="2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3,097</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4,292</w:t>
            </w:r>
          </w:p>
        </w:tc>
        <w:tc>
          <w:tcPr>
            <w:tcW w:w="100" w:type="dxa"/>
            <w:vAlign w:val="bottom"/>
            <w:shd w:val="clear" w:color="auto" w:fill="CCEEFF"/>
          </w:tcPr>
          <w:p>
            <w:pPr>
              <w:spacing w:after="0"/>
              <w:rPr>
                <w:sz w:val="18"/>
                <w:szCs w:val="18"/>
                <w:color w:val="auto"/>
              </w:rPr>
            </w:pPr>
          </w:p>
        </w:tc>
      </w:tr>
      <w:tr>
        <w:trPr>
          <w:trHeight w:val="257"/>
        </w:trPr>
        <w:tc>
          <w:tcPr>
            <w:tcW w:w="3260" w:type="dxa"/>
            <w:vAlign w:val="bottom"/>
          </w:tcPr>
          <w:p>
            <w:pPr>
              <w:spacing w:after="0" w:line="256" w:lineRule="exact"/>
              <w:rPr>
                <w:sz w:val="20"/>
                <w:szCs w:val="20"/>
                <w:color w:val="auto"/>
              </w:rPr>
            </w:pPr>
            <w:r>
              <w:rPr>
                <w:rFonts w:ascii="Arial" w:cs="Arial" w:eastAsia="Arial" w:hAnsi="Arial"/>
                <w:sz w:val="18"/>
                <w:szCs w:val="18"/>
                <w:b w:val="1"/>
                <w:bCs w:val="1"/>
                <w:color w:val="auto"/>
              </w:rPr>
              <w:t>Gross Profit</w:t>
            </w:r>
            <w:r>
              <w:rPr>
                <w:rFonts w:ascii="Arial" w:cs="Arial" w:eastAsia="Arial" w:hAnsi="Arial"/>
                <w:sz w:val="29"/>
                <w:szCs w:val="29"/>
                <w:b w:val="1"/>
                <w:bCs w:val="1"/>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2"/>
                <w:szCs w:val="22"/>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438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535</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1,669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2,936</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3,615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4,025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4,082</w:t>
            </w:r>
          </w:p>
        </w:tc>
        <w:tc>
          <w:tcPr>
            <w:tcW w:w="100" w:type="dxa"/>
            <w:vAlign w:val="bottom"/>
          </w:tcPr>
          <w:p>
            <w:pPr>
              <w:spacing w:after="0"/>
              <w:rPr>
                <w:sz w:val="22"/>
                <w:szCs w:val="22"/>
                <w:color w:val="auto"/>
              </w:rPr>
            </w:pPr>
          </w:p>
        </w:tc>
      </w:tr>
      <w:tr>
        <w:trPr>
          <w:trHeight w:val="270"/>
        </w:trPr>
        <w:tc>
          <w:tcPr>
            <w:tcW w:w="3260" w:type="dxa"/>
            <w:vAlign w:val="bottom"/>
            <w:shd w:val="clear" w:color="auto" w:fill="CCEEFF"/>
          </w:tcPr>
          <w:p>
            <w:pPr>
              <w:spacing w:after="0" w:line="270" w:lineRule="exact"/>
              <w:rPr>
                <w:sz w:val="20"/>
                <w:szCs w:val="20"/>
                <w:color w:val="auto"/>
              </w:rPr>
            </w:pPr>
            <w:r>
              <w:rPr>
                <w:rFonts w:ascii="Arial" w:cs="Arial" w:eastAsia="Arial" w:hAnsi="Arial"/>
                <w:sz w:val="18"/>
                <w:szCs w:val="18"/>
                <w:b w:val="1"/>
                <w:bCs w:val="1"/>
                <w:color w:val="auto"/>
              </w:rPr>
              <w:t>EBIT</w:t>
            </w:r>
            <w:r>
              <w:rPr>
                <w:rFonts w:ascii="Arial" w:cs="Arial" w:eastAsia="Arial" w:hAnsi="Arial"/>
                <w:sz w:val="29"/>
                <w:szCs w:val="29"/>
                <w:b w:val="1"/>
                <w:bCs w:val="1"/>
                <w:color w:val="auto"/>
                <w:vertAlign w:val="superscript"/>
              </w:rPr>
              <w:t>(2)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2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847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1,653</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00" w:type="dxa"/>
            <w:vAlign w:val="bottom"/>
            <w:shd w:val="clear" w:color="auto" w:fill="CCEEFF"/>
          </w:tcPr>
          <w:p>
            <w:pPr>
              <w:spacing w:after="0"/>
              <w:rPr>
                <w:sz w:val="23"/>
                <w:szCs w:val="23"/>
                <w:color w:val="auto"/>
              </w:rPr>
            </w:pPr>
          </w:p>
        </w:tc>
      </w:tr>
      <w:tr>
        <w:trPr>
          <w:trHeight w:val="394"/>
        </w:trPr>
        <w:tc>
          <w:tcPr>
            <w:tcW w:w="3260" w:type="dxa"/>
            <w:vAlign w:val="bottom"/>
          </w:tcPr>
          <w:p>
            <w:pPr>
              <w:spacing w:after="0"/>
              <w:rPr>
                <w:sz w:val="20"/>
                <w:szCs w:val="20"/>
                <w:color w:val="auto"/>
              </w:rPr>
            </w:pPr>
            <w:r>
              <w:rPr>
                <w:rFonts w:ascii="Arial" w:cs="Arial" w:eastAsia="Arial" w:hAnsi="Arial"/>
                <w:sz w:val="18"/>
                <w:szCs w:val="18"/>
                <w:b w:val="1"/>
                <w:bCs w:val="1"/>
                <w:color w:val="auto"/>
              </w:rPr>
              <w:t>Net Income</w:t>
            </w:r>
            <w:r>
              <w:rPr>
                <w:rFonts w:ascii="Arial" w:cs="Arial" w:eastAsia="Arial" w:hAnsi="Arial"/>
                <w:sz w:val="29"/>
                <w:szCs w:val="29"/>
                <w:b w:val="1"/>
                <w:bCs w:val="1"/>
                <w:color w:val="auto"/>
                <w:vertAlign w:val="superscript"/>
              </w:rPr>
              <w:t>(3)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(381)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(105)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795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1,364</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1,530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1,778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1,791</w:t>
            </w:r>
          </w:p>
        </w:tc>
        <w:tc>
          <w:tcPr>
            <w:tcW w:w="100" w:type="dxa"/>
            <w:vAlign w:val="bottom"/>
          </w:tcPr>
          <w:p>
            <w:pPr>
              <w:spacing w:after="0"/>
              <w:rPr>
                <w:sz w:val="24"/>
                <w:szCs w:val="24"/>
                <w:color w:val="auto"/>
              </w:rPr>
            </w:pPr>
          </w:p>
        </w:tc>
      </w:tr>
      <w:tr>
        <w:trPr>
          <w:trHeight w:val="335"/>
        </w:trPr>
        <w:tc>
          <w:tcPr>
            <w:tcW w:w="3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12"/>
          </w:tcPr>
          <w:p>
            <w:pPr>
              <w:jc w:val="right"/>
              <w:spacing w:after="0"/>
              <w:rPr>
                <w:sz w:val="20"/>
                <w:szCs w:val="20"/>
                <w:color w:val="auto"/>
              </w:rPr>
            </w:pPr>
            <w:r>
              <w:rPr>
                <w:rFonts w:ascii="Arial" w:cs="Arial" w:eastAsia="Arial" w:hAnsi="Arial"/>
                <w:sz w:val="18"/>
                <w:szCs w:val="18"/>
                <w:b w:val="1"/>
                <w:bCs w:val="1"/>
                <w:color w:val="auto"/>
              </w:rPr>
              <w:t>Fiscal year ended December 31,</w:t>
            </w: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2031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2032</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2033</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2034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2035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2036</w:t>
            </w:r>
          </w:p>
        </w:tc>
        <w:tc>
          <w:tcPr>
            <w:tcW w:w="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2037</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2038</w:t>
            </w:r>
          </w:p>
        </w:tc>
        <w:tc>
          <w:tcPr>
            <w:tcW w:w="100" w:type="dxa"/>
            <w:vAlign w:val="bottom"/>
            <w:tcBorders>
              <w:bottom w:val="single" w:sz="8" w:color="CCEEFF"/>
            </w:tcBorders>
          </w:tcPr>
          <w:p>
            <w:pPr>
              <w:spacing w:after="0"/>
              <w:rPr>
                <w:sz w:val="19"/>
                <w:szCs w:val="19"/>
                <w:color w:val="auto"/>
              </w:rPr>
            </w:pPr>
          </w:p>
        </w:tc>
      </w:tr>
      <w:tr>
        <w:trPr>
          <w:trHeight w:val="209"/>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8,079</w:t>
            </w:r>
          </w:p>
        </w:tc>
        <w:tc>
          <w:tcPr>
            <w:tcW w:w="100" w:type="dxa"/>
            <w:vAlign w:val="bottom"/>
            <w:shd w:val="clear" w:color="auto" w:fill="CCEEFF"/>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Partnership Economics (ex-US)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123</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304</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419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299</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336</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5,440</w:t>
            </w:r>
          </w:p>
        </w:tc>
        <w:tc>
          <w:tcPr>
            <w:tcW w:w="2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7,044</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8,468</w:t>
            </w:r>
          </w:p>
        </w:tc>
        <w:tc>
          <w:tcPr>
            <w:tcW w:w="100" w:type="dxa"/>
            <w:vAlign w:val="bottom"/>
            <w:shd w:val="clear" w:color="auto" w:fill="CCEEFF"/>
          </w:tcPr>
          <w:p>
            <w:pPr>
              <w:spacing w:after="0"/>
              <w:rPr>
                <w:sz w:val="18"/>
                <w:szCs w:val="18"/>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b w:val="1"/>
                <w:bCs w:val="1"/>
                <w:color w:val="auto"/>
              </w:rPr>
              <w:t>Gross Profit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4,199</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4,404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5,183</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6,115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6,707</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7,368</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7,897</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8,064</w:t>
            </w:r>
          </w:p>
        </w:tc>
        <w:tc>
          <w:tcPr>
            <w:tcW w:w="100" w:type="dxa"/>
            <w:vAlign w:val="bottom"/>
          </w:tcPr>
          <w:p>
            <w:pPr>
              <w:spacing w:after="0"/>
              <w:rPr>
                <w:sz w:val="18"/>
                <w:szCs w:val="18"/>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3,002</w:t>
            </w:r>
          </w:p>
        </w:tc>
        <w:tc>
          <w:tcPr>
            <w:tcW w:w="2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3,741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4,120</w:t>
            </w:r>
          </w:p>
        </w:tc>
        <w:tc>
          <w:tcPr>
            <w:tcW w:w="2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w:t>
            </w:r>
          </w:p>
        </w:tc>
        <w:tc>
          <w:tcPr>
            <w:tcW w:w="100" w:type="dxa"/>
            <w:vAlign w:val="bottom"/>
            <w:shd w:val="clear" w:color="auto" w:fill="CCEEFF"/>
          </w:tcPr>
          <w:p>
            <w:pPr>
              <w:spacing w:after="0"/>
              <w:rPr>
                <w:sz w:val="18"/>
                <w:szCs w:val="18"/>
                <w:color w:val="auto"/>
              </w:rPr>
            </w:pPr>
          </w:p>
        </w:tc>
      </w:tr>
      <w:tr>
        <w:trPr>
          <w:trHeight w:val="234"/>
        </w:trPr>
        <w:tc>
          <w:tcPr>
            <w:tcW w:w="32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1,851</w:t>
            </w:r>
          </w:p>
        </w:tc>
        <w:tc>
          <w:tcPr>
            <w:tcW w:w="1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1,952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2,269</w:t>
            </w:r>
          </w:p>
        </w:tc>
        <w:tc>
          <w:tcPr>
            <w:tcW w:w="2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2,825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3,117</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3,435</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3,693</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3,788</w:t>
            </w:r>
          </w:p>
        </w:tc>
        <w:tc>
          <w:tcPr>
            <w:tcW w:w="100" w:type="dxa"/>
            <w:vAlign w:val="bottom"/>
          </w:tcPr>
          <w:p>
            <w:pPr>
              <w:spacing w:after="0"/>
              <w:rPr>
                <w:sz w:val="20"/>
                <w:szCs w:val="20"/>
                <w:color w:val="auto"/>
              </w:rPr>
            </w:pPr>
          </w:p>
        </w:tc>
      </w:tr>
    </w:tbl>
    <w:p>
      <w:pPr>
        <w:spacing w:after="0" w:line="6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w:t>
      </w:r>
      <w:r>
        <w:rPr>
          <w:rFonts w:ascii="Arial" w:cs="Arial" w:eastAsia="Arial" w:hAnsi="Arial"/>
          <w:sz w:val="18"/>
          <w:szCs w:val="18"/>
          <w:u w:val="single" w:color="auto"/>
          <w:color w:val="auto"/>
        </w:rPr>
        <w:t>Gross Profit</w:t>
      </w:r>
      <w:r>
        <w:rPr>
          <w:rFonts w:ascii="Arial" w:cs="Arial" w:eastAsia="Arial" w:hAnsi="Arial"/>
          <w:sz w:val="18"/>
          <w:szCs w:val="18"/>
          <w:color w:val="auto"/>
        </w:rPr>
        <w:t xml:space="preserve">” means Total Net Revenue </w:t>
      </w:r>
      <w:r>
        <w:rPr>
          <w:rFonts w:ascii="Arial" w:cs="Arial" w:eastAsia="Arial" w:hAnsi="Arial"/>
          <w:sz w:val="18"/>
          <w:szCs w:val="18"/>
          <w:i w:val="1"/>
          <w:iCs w:val="1"/>
          <w:color w:val="auto"/>
        </w:rPr>
        <w:t>minus</w:t>
      </w:r>
      <w:r>
        <w:rPr>
          <w:rFonts w:ascii="Arial" w:cs="Arial" w:eastAsia="Arial" w:hAnsi="Arial"/>
          <w:sz w:val="18"/>
          <w:szCs w:val="18"/>
          <w:color w:val="auto"/>
        </w:rPr>
        <w:t xml:space="preserve"> cost of goods sold expenses.</w:t>
      </w:r>
    </w:p>
    <w:p>
      <w:pPr>
        <w:spacing w:after="0" w:line="1" w:lineRule="exact"/>
        <w:rPr>
          <w:rFonts w:ascii="Arial" w:cs="Arial" w:eastAsia="Arial" w:hAnsi="Arial"/>
          <w:sz w:val="30"/>
          <w:szCs w:val="30"/>
          <w:color w:val="auto"/>
          <w:vertAlign w:val="superscript"/>
        </w:rPr>
      </w:pPr>
    </w:p>
    <w:p>
      <w:pPr>
        <w:ind w:left="660" w:right="160" w:hanging="328"/>
        <w:spacing w:after="0" w:line="187" w:lineRule="auto"/>
        <w:tabs>
          <w:tab w:leader="none" w:pos="66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w:t>
      </w:r>
      <w:r>
        <w:rPr>
          <w:rFonts w:ascii="Arial" w:cs="Arial" w:eastAsia="Arial" w:hAnsi="Arial"/>
          <w:sz w:val="18"/>
          <w:szCs w:val="18"/>
          <w:u w:val="single" w:color="auto"/>
          <w:color w:val="auto"/>
        </w:rPr>
        <w:t>EBIT</w:t>
      </w:r>
      <w:r>
        <w:rPr>
          <w:rFonts w:ascii="Arial" w:cs="Arial" w:eastAsia="Arial" w:hAnsi="Arial"/>
          <w:sz w:val="18"/>
          <w:szCs w:val="18"/>
          <w:color w:val="auto"/>
        </w:rPr>
        <w:t xml:space="preserve">” means earnings before interest and taxes and refers to Gross Profit </w:t>
      </w:r>
      <w:r>
        <w:rPr>
          <w:rFonts w:ascii="Arial" w:cs="Arial" w:eastAsia="Arial" w:hAnsi="Arial"/>
          <w:sz w:val="18"/>
          <w:szCs w:val="18"/>
          <w:i w:val="1"/>
          <w:iCs w:val="1"/>
          <w:color w:val="auto"/>
        </w:rPr>
        <w:t>minus</w:t>
      </w:r>
      <w:r>
        <w:rPr>
          <w:rFonts w:ascii="Arial" w:cs="Arial" w:eastAsia="Arial" w:hAnsi="Arial"/>
          <w:sz w:val="18"/>
          <w:szCs w:val="18"/>
          <w:color w:val="auto"/>
        </w:rPr>
        <w:t xml:space="preserve"> research and development expenses </w:t>
      </w:r>
      <w:r>
        <w:rPr>
          <w:rFonts w:ascii="Arial" w:cs="Arial" w:eastAsia="Arial" w:hAnsi="Arial"/>
          <w:sz w:val="18"/>
          <w:szCs w:val="18"/>
          <w:i w:val="1"/>
          <w:iCs w:val="1"/>
          <w:color w:val="auto"/>
        </w:rPr>
        <w:t>minus</w:t>
      </w:r>
      <w:r>
        <w:rPr>
          <w:rFonts w:ascii="Arial" w:cs="Arial" w:eastAsia="Arial" w:hAnsi="Arial"/>
          <w:sz w:val="18"/>
          <w:szCs w:val="18"/>
          <w:color w:val="auto"/>
        </w:rPr>
        <w:t xml:space="preserve"> sales and marketing expenses </w:t>
      </w:r>
      <w:r>
        <w:rPr>
          <w:rFonts w:ascii="Arial" w:cs="Arial" w:eastAsia="Arial" w:hAnsi="Arial"/>
          <w:sz w:val="18"/>
          <w:szCs w:val="18"/>
          <w:i w:val="1"/>
          <w:iCs w:val="1"/>
          <w:color w:val="auto"/>
        </w:rPr>
        <w:t>minus</w:t>
      </w:r>
      <w:r>
        <w:rPr>
          <w:rFonts w:ascii="Arial" w:cs="Arial" w:eastAsia="Arial" w:hAnsi="Arial"/>
          <w:sz w:val="18"/>
          <w:szCs w:val="18"/>
          <w:color w:val="auto"/>
        </w:rPr>
        <w:t xml:space="preserve"> general and administrative expenses and </w:t>
      </w:r>
      <w:r>
        <w:rPr>
          <w:rFonts w:ascii="Arial" w:cs="Arial" w:eastAsia="Arial" w:hAnsi="Arial"/>
          <w:sz w:val="18"/>
          <w:szCs w:val="18"/>
          <w:i w:val="1"/>
          <w:iCs w:val="1"/>
          <w:color w:val="auto"/>
        </w:rPr>
        <w:t>minus</w:t>
      </w:r>
      <w:r>
        <w:rPr>
          <w:rFonts w:ascii="Arial" w:cs="Arial" w:eastAsia="Arial" w:hAnsi="Arial"/>
          <w:sz w:val="18"/>
          <w:szCs w:val="18"/>
          <w:color w:val="auto"/>
        </w:rPr>
        <w:t xml:space="preserve"> other expenses.</w:t>
      </w:r>
    </w:p>
    <w:p>
      <w:pPr>
        <w:ind w:left="660" w:hanging="328"/>
        <w:spacing w:after="0" w:line="187" w:lineRule="auto"/>
        <w:tabs>
          <w:tab w:leader="none" w:pos="66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w:t>
      </w:r>
      <w:r>
        <w:rPr>
          <w:rFonts w:ascii="Arial" w:cs="Arial" w:eastAsia="Arial" w:hAnsi="Arial"/>
          <w:sz w:val="18"/>
          <w:szCs w:val="18"/>
          <w:u w:val="single" w:color="auto"/>
          <w:color w:val="auto"/>
        </w:rPr>
        <w:t>Net Income</w:t>
      </w:r>
      <w:r>
        <w:rPr>
          <w:rFonts w:ascii="Arial" w:cs="Arial" w:eastAsia="Arial" w:hAnsi="Arial"/>
          <w:sz w:val="18"/>
          <w:szCs w:val="18"/>
          <w:color w:val="auto"/>
        </w:rPr>
        <w:t xml:space="preserve">” means EBIT </w:t>
      </w:r>
      <w:r>
        <w:rPr>
          <w:rFonts w:ascii="Arial" w:cs="Arial" w:eastAsia="Arial" w:hAnsi="Arial"/>
          <w:sz w:val="18"/>
          <w:szCs w:val="18"/>
          <w:i w:val="1"/>
          <w:iCs w:val="1"/>
          <w:color w:val="auto"/>
        </w:rPr>
        <w:t>minus</w:t>
      </w:r>
      <w:r>
        <w:rPr>
          <w:rFonts w:ascii="Arial" w:cs="Arial" w:eastAsia="Arial" w:hAnsi="Arial"/>
          <w:sz w:val="18"/>
          <w:szCs w:val="18"/>
          <w:color w:val="auto"/>
        </w:rPr>
        <w:t xml:space="preserve"> interest and other income expenses and </w:t>
      </w:r>
      <w:r>
        <w:rPr>
          <w:rFonts w:ascii="Arial" w:cs="Arial" w:eastAsia="Arial" w:hAnsi="Arial"/>
          <w:sz w:val="18"/>
          <w:szCs w:val="18"/>
          <w:i w:val="1"/>
          <w:iCs w:val="1"/>
          <w:color w:val="auto"/>
        </w:rPr>
        <w:t>minus</w:t>
      </w:r>
      <w:r>
        <w:rPr>
          <w:rFonts w:ascii="Arial" w:cs="Arial" w:eastAsia="Arial" w:hAnsi="Arial"/>
          <w:sz w:val="18"/>
          <w:szCs w:val="18"/>
          <w:color w:val="auto"/>
        </w:rPr>
        <w:t xml:space="preserve"> income tax and assumes a tax rate of 26% and includes the impact of net operating loss and research and development tax credit usage.</w:t>
      </w:r>
    </w:p>
    <w:p>
      <w:pPr>
        <w:spacing w:after="0" w:line="20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The disclosure under the section entitled “The Merger — Certain Financial Projections” is hereby amended and supplemented by adding the following bolded and double underlined language to the last paragraph on page 64 of the Definitive Proxy Statement:</w:t>
      </w:r>
    </w:p>
    <w:p>
      <w:pPr>
        <w:spacing w:after="0" w:line="170"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 xml:space="preserve">The 2023 Management Projections assume estimated net cash of $380 million as of June 30, 2023, a hypothetical $350 million equity raise conducted in the second half of 2023 at a 10% discount to IVERIC’s closing stock price on April 27, 2023 and a 6% spread, resulting in net proceeds of $329 million to IVERIC, a federal net operating loss carryforward of $658 million and $21 million in research and development tax credits as of December 31, 2022 and taxes based on a 21% federal tax rate. For purposes of their respective discounted cash flow analyses, BofA Securities and Centerview calculated, based on IVERIC management guidance, the estimated potential future taxes offset from these tax attributes, which calculation by BofA Securities resulted in estimated taxes offset of $154 million and $61 million for fiscal years 2026 and 2027, respectively, and which calculation by Centerview resulted in estimated taxes offset of $154 million and $62 million for fiscal years 2026 and 2027, respectively. The values in the table below do not take into account the effect of net operating loss usage. </w:t>
      </w:r>
      <w:r>
        <w:rPr>
          <w:rFonts w:ascii="Arial" w:cs="Arial" w:eastAsia="Arial" w:hAnsi="Arial"/>
          <w:sz w:val="16"/>
          <w:szCs w:val="16"/>
          <w:b w:val="1"/>
          <w:bCs w:val="1"/>
          <w:u w:val="single" w:color="auto"/>
          <w:color w:val="auto"/>
        </w:rPr>
        <w:t>In addition, IVERIC’s management instructed BofA Securities and Centerview, for purposes of their</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respective discounted cash flow analyses, to assume that IVERIC’s unlevered free cash flows would decline in perpetuity after December 31, 2038 at a rate of free cash flow decline of 5.0% year over year, reflecting an expectation by IVERIC management that, even after the initial steep decline in cash flows following loss of exclusivity, there would be additional market erosion due to additional generic competitors entering the market or existing generic competitors increasing their market share.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ind w:right="340"/>
        <w:spacing w:after="0" w:line="277" w:lineRule="auto"/>
        <w:rPr>
          <w:sz w:val="20"/>
          <w:szCs w:val="20"/>
          <w:color w:val="auto"/>
        </w:rPr>
      </w:pPr>
      <w:r>
        <w:rPr>
          <w:rFonts w:ascii="Arial" w:cs="Arial" w:eastAsia="Arial" w:hAnsi="Arial"/>
          <w:sz w:val="18"/>
          <w:szCs w:val="18"/>
          <w:i w:val="1"/>
          <w:iCs w:val="1"/>
          <w:color w:val="auto"/>
        </w:rPr>
        <w:t>The disclosure under the section entitled “The Merger — Certain Financial Projections” is hereby amended and supplemented by adding the following bolded and double underlined language to the table on page 66 of the Definitive Proxy Statement: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240" w:type="dxa"/>
            <w:vAlign w:val="bottom"/>
            <w:gridSpan w:val="78"/>
          </w:tcPr>
          <w:p>
            <w:pPr>
              <w:spacing w:after="0"/>
              <w:rPr>
                <w:sz w:val="20"/>
                <w:szCs w:val="20"/>
                <w:color w:val="auto"/>
              </w:rPr>
            </w:pPr>
            <w:r>
              <w:rPr>
                <w:rFonts w:ascii="Arial" w:cs="Arial" w:eastAsia="Arial" w:hAnsi="Arial"/>
                <w:sz w:val="18"/>
                <w:szCs w:val="18"/>
                <w:color w:val="auto"/>
              </w:rPr>
              <w:t>(Amounts in Millions)</w:t>
            </w:r>
          </w:p>
        </w:tc>
        <w:tc>
          <w:tcPr>
            <w:tcW w:w="0" w:type="dxa"/>
            <w:vAlign w:val="bottom"/>
          </w:tcPr>
          <w:p>
            <w:pPr>
              <w:spacing w:after="0"/>
              <w:rPr>
                <w:sz w:val="1"/>
                <w:szCs w:val="1"/>
                <w:color w:val="auto"/>
              </w:rPr>
            </w:pPr>
          </w:p>
        </w:tc>
      </w:tr>
      <w:tr>
        <w:trPr>
          <w:trHeight w:val="439"/>
        </w:trPr>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27"/>
          </w:tcPr>
          <w:p>
            <w:pPr>
              <w:jc w:val="right"/>
              <w:ind w:right="100"/>
              <w:spacing w:after="0"/>
              <w:rPr>
                <w:sz w:val="20"/>
                <w:szCs w:val="20"/>
                <w:color w:val="auto"/>
              </w:rPr>
            </w:pPr>
            <w:r>
              <w:rPr>
                <w:rFonts w:ascii="Arial" w:cs="Arial" w:eastAsia="Arial" w:hAnsi="Arial"/>
                <w:sz w:val="18"/>
                <w:szCs w:val="18"/>
                <w:b w:val="1"/>
                <w:bCs w:val="1"/>
                <w:color w:val="auto"/>
                <w:w w:val="89"/>
              </w:rPr>
              <w:t>Fiscal year ended December 31,</w:t>
            </w: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280" w:type="dxa"/>
            <w:vAlign w:val="bottom"/>
            <w:tcBorders>
              <w:bottom w:val="single" w:sz="8" w:color="CCEEFF"/>
            </w:tcBorders>
            <w:gridSpan w:val="8"/>
          </w:tcPr>
          <w:p>
            <w:pPr>
              <w:spacing w:after="0"/>
              <w:rPr>
                <w:sz w:val="19"/>
                <w:szCs w:val="19"/>
                <w:color w:val="auto"/>
              </w:rPr>
            </w:pPr>
          </w:p>
        </w:tc>
        <w:tc>
          <w:tcPr>
            <w:tcW w:w="840" w:type="dxa"/>
            <w:vAlign w:val="bottom"/>
            <w:tcBorders>
              <w:bottom w:val="single" w:sz="8" w:color="auto"/>
            </w:tcBorders>
            <w:gridSpan w:val="6"/>
          </w:tcPr>
          <w:p>
            <w:pPr>
              <w:jc w:val="right"/>
              <w:ind w:right="750"/>
              <w:spacing w:after="0"/>
              <w:rPr>
                <w:sz w:val="20"/>
                <w:szCs w:val="20"/>
                <w:color w:val="auto"/>
              </w:rPr>
            </w:pPr>
            <w:r>
              <w:rPr>
                <w:rFonts w:ascii="Arial" w:cs="Arial" w:eastAsia="Arial" w:hAnsi="Arial"/>
                <w:sz w:val="18"/>
                <w:szCs w:val="18"/>
                <w:b w:val="1"/>
                <w:bCs w:val="1"/>
                <w:color w:val="auto"/>
              </w:rPr>
              <w:t>2023</w:t>
            </w:r>
          </w:p>
        </w:tc>
        <w:tc>
          <w:tcPr>
            <w:tcW w:w="240" w:type="dxa"/>
            <w:vAlign w:val="bottom"/>
            <w:tcBorders>
              <w:bottom w:val="single" w:sz="8" w:color="CCEEFF"/>
            </w:tcBorders>
            <w:gridSpan w:val="2"/>
          </w:tcPr>
          <w:p>
            <w:pPr>
              <w:spacing w:after="0"/>
              <w:rPr>
                <w:sz w:val="19"/>
                <w:szCs w:val="19"/>
                <w:color w:val="auto"/>
              </w:rPr>
            </w:pPr>
          </w:p>
        </w:tc>
        <w:tc>
          <w:tcPr>
            <w:tcW w:w="80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8"/>
                <w:szCs w:val="18"/>
                <w:b w:val="1"/>
                <w:bCs w:val="1"/>
                <w:color w:val="auto"/>
              </w:rPr>
              <w:t>2024</w:t>
            </w:r>
          </w:p>
        </w:tc>
        <w:tc>
          <w:tcPr>
            <w:tcW w:w="16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gridSpan w:val="7"/>
          </w:tcPr>
          <w:p>
            <w:pPr>
              <w:jc w:val="right"/>
              <w:ind w:right="650"/>
              <w:spacing w:after="0"/>
              <w:rPr>
                <w:sz w:val="20"/>
                <w:szCs w:val="20"/>
                <w:color w:val="auto"/>
              </w:rPr>
            </w:pPr>
            <w:r>
              <w:rPr>
                <w:rFonts w:ascii="Arial" w:cs="Arial" w:eastAsia="Arial" w:hAnsi="Arial"/>
                <w:sz w:val="18"/>
                <w:szCs w:val="18"/>
                <w:b w:val="1"/>
                <w:bCs w:val="1"/>
                <w:color w:val="auto"/>
              </w:rPr>
              <w:t>2025</w:t>
            </w:r>
          </w:p>
        </w:tc>
        <w:tc>
          <w:tcPr>
            <w:tcW w:w="260" w:type="dxa"/>
            <w:vAlign w:val="bottom"/>
            <w:tcBorders>
              <w:bottom w:val="single" w:sz="8" w:color="CCEEFF"/>
            </w:tcBorders>
            <w:gridSpan w:val="3"/>
          </w:tcPr>
          <w:p>
            <w:pPr>
              <w:spacing w:after="0"/>
              <w:rPr>
                <w:sz w:val="19"/>
                <w:szCs w:val="19"/>
                <w:color w:val="auto"/>
              </w:rPr>
            </w:pPr>
          </w:p>
        </w:tc>
        <w:tc>
          <w:tcPr>
            <w:tcW w:w="760" w:type="dxa"/>
            <w:vAlign w:val="bottom"/>
            <w:tcBorders>
              <w:bottom w:val="single" w:sz="8" w:color="auto"/>
            </w:tcBorders>
            <w:gridSpan w:val="8"/>
          </w:tcPr>
          <w:p>
            <w:pPr>
              <w:jc w:val="right"/>
              <w:ind w:right="760"/>
              <w:spacing w:after="0"/>
              <w:rPr>
                <w:sz w:val="20"/>
                <w:szCs w:val="20"/>
                <w:color w:val="auto"/>
              </w:rPr>
            </w:pPr>
            <w:r>
              <w:rPr>
                <w:rFonts w:ascii="Arial" w:cs="Arial" w:eastAsia="Arial" w:hAnsi="Arial"/>
                <w:sz w:val="18"/>
                <w:szCs w:val="18"/>
                <w:b w:val="1"/>
                <w:bCs w:val="1"/>
                <w:color w:val="auto"/>
              </w:rPr>
              <w:t>2026</w:t>
            </w:r>
          </w:p>
        </w:tc>
        <w:tc>
          <w:tcPr>
            <w:tcW w:w="240" w:type="dxa"/>
            <w:vAlign w:val="bottom"/>
            <w:tcBorders>
              <w:bottom w:val="single" w:sz="8" w:color="CCEEFF"/>
            </w:tcBorders>
            <w:gridSpan w:val="3"/>
          </w:tcPr>
          <w:p>
            <w:pPr>
              <w:spacing w:after="0"/>
              <w:rPr>
                <w:sz w:val="19"/>
                <w:szCs w:val="19"/>
                <w:color w:val="auto"/>
              </w:rPr>
            </w:pPr>
          </w:p>
        </w:tc>
        <w:tc>
          <w:tcPr>
            <w:tcW w:w="780" w:type="dxa"/>
            <w:vAlign w:val="bottom"/>
            <w:tcBorders>
              <w:bottom w:val="single" w:sz="8" w:color="auto"/>
            </w:tcBorders>
            <w:gridSpan w:val="7"/>
          </w:tcPr>
          <w:p>
            <w:pPr>
              <w:jc w:val="right"/>
              <w:ind w:right="780"/>
              <w:spacing w:after="0"/>
              <w:rPr>
                <w:sz w:val="20"/>
                <w:szCs w:val="20"/>
                <w:color w:val="auto"/>
              </w:rPr>
            </w:pPr>
            <w:r>
              <w:rPr>
                <w:rFonts w:ascii="Arial" w:cs="Arial" w:eastAsia="Arial" w:hAnsi="Arial"/>
                <w:sz w:val="18"/>
                <w:szCs w:val="18"/>
                <w:b w:val="1"/>
                <w:bCs w:val="1"/>
                <w:color w:val="auto"/>
              </w:rPr>
              <w:t>2027</w:t>
            </w:r>
          </w:p>
        </w:tc>
        <w:tc>
          <w:tcPr>
            <w:tcW w:w="240" w:type="dxa"/>
            <w:vAlign w:val="bottom"/>
            <w:tcBorders>
              <w:bottom w:val="single" w:sz="8" w:color="CCEEFF"/>
            </w:tcBorders>
            <w:gridSpan w:val="3"/>
          </w:tcPr>
          <w:p>
            <w:pPr>
              <w:spacing w:after="0"/>
              <w:rPr>
                <w:sz w:val="19"/>
                <w:szCs w:val="19"/>
                <w:color w:val="auto"/>
              </w:rPr>
            </w:pPr>
          </w:p>
        </w:tc>
        <w:tc>
          <w:tcPr>
            <w:tcW w:w="760" w:type="dxa"/>
            <w:vAlign w:val="bottom"/>
            <w:tcBorders>
              <w:bottom w:val="single" w:sz="8" w:color="auto"/>
            </w:tcBorders>
            <w:gridSpan w:val="8"/>
          </w:tcPr>
          <w:p>
            <w:pPr>
              <w:jc w:val="right"/>
              <w:ind w:right="687"/>
              <w:spacing w:after="0"/>
              <w:rPr>
                <w:sz w:val="20"/>
                <w:szCs w:val="20"/>
                <w:color w:val="auto"/>
              </w:rPr>
            </w:pPr>
            <w:r>
              <w:rPr>
                <w:rFonts w:ascii="Arial" w:cs="Arial" w:eastAsia="Arial" w:hAnsi="Arial"/>
                <w:sz w:val="18"/>
                <w:szCs w:val="18"/>
                <w:b w:val="1"/>
                <w:bCs w:val="1"/>
                <w:color w:val="auto"/>
              </w:rPr>
              <w:t>2028</w:t>
            </w:r>
          </w:p>
        </w:tc>
        <w:tc>
          <w:tcPr>
            <w:tcW w:w="240" w:type="dxa"/>
            <w:vAlign w:val="bottom"/>
            <w:tcBorders>
              <w:bottom w:val="single" w:sz="8" w:color="CCEEFF"/>
            </w:tcBorders>
            <w:gridSpan w:val="2"/>
          </w:tcPr>
          <w:p>
            <w:pPr>
              <w:spacing w:after="0"/>
              <w:rPr>
                <w:sz w:val="19"/>
                <w:szCs w:val="19"/>
                <w:color w:val="auto"/>
              </w:rPr>
            </w:pPr>
          </w:p>
        </w:tc>
        <w:tc>
          <w:tcPr>
            <w:tcW w:w="780" w:type="dxa"/>
            <w:vAlign w:val="bottom"/>
            <w:tcBorders>
              <w:bottom w:val="single" w:sz="8" w:color="auto"/>
            </w:tcBorders>
            <w:gridSpan w:val="7"/>
          </w:tcPr>
          <w:p>
            <w:pPr>
              <w:jc w:val="right"/>
              <w:ind w:right="690"/>
              <w:spacing w:after="0"/>
              <w:rPr>
                <w:sz w:val="20"/>
                <w:szCs w:val="20"/>
                <w:color w:val="auto"/>
              </w:rPr>
            </w:pPr>
            <w:r>
              <w:rPr>
                <w:rFonts w:ascii="Arial" w:cs="Arial" w:eastAsia="Arial" w:hAnsi="Arial"/>
                <w:sz w:val="18"/>
                <w:szCs w:val="18"/>
                <w:b w:val="1"/>
                <w:bCs w:val="1"/>
                <w:color w:val="auto"/>
              </w:rPr>
              <w:t>2029</w:t>
            </w:r>
          </w:p>
        </w:tc>
        <w:tc>
          <w:tcPr>
            <w:tcW w:w="24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gridSpan w:val="5"/>
          </w:tcPr>
          <w:p>
            <w:pPr>
              <w:jc w:val="right"/>
              <w:ind w:right="690"/>
              <w:spacing w:after="0"/>
              <w:rPr>
                <w:sz w:val="20"/>
                <w:szCs w:val="20"/>
                <w:color w:val="auto"/>
              </w:rPr>
            </w:pPr>
            <w:r>
              <w:rPr>
                <w:rFonts w:ascii="Arial" w:cs="Arial" w:eastAsia="Arial" w:hAnsi="Arial"/>
                <w:sz w:val="18"/>
                <w:szCs w:val="18"/>
                <w:b w:val="1"/>
                <w:bCs w:val="1"/>
                <w:color w:val="auto"/>
              </w:rPr>
              <w:t>2030</w:t>
            </w:r>
          </w:p>
        </w:tc>
        <w:tc>
          <w:tcPr>
            <w:tcW w:w="100" w:type="dxa"/>
            <w:vAlign w:val="bottom"/>
            <w:tcBorders>
              <w:bottom w:val="single" w:sz="8" w:color="CCEEFF"/>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92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EBIT</w:t>
            </w:r>
          </w:p>
        </w:tc>
        <w:tc>
          <w:tcPr>
            <w:tcW w:w="360" w:type="dxa"/>
            <w:vAlign w:val="bottom"/>
            <w:tcBorders>
              <w:right w:val="single" w:sz="8" w:color="CCEEFF"/>
            </w:tcBorders>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4"/>
                <w:szCs w:val="4"/>
                <w:color w:val="auto"/>
                <w:w w:val="87"/>
              </w:rPr>
              <w:t>$</w:t>
            </w:r>
          </w:p>
        </w:tc>
        <w:tc>
          <w:tcPr>
            <w:tcW w:w="760" w:type="dxa"/>
            <w:vAlign w:val="bottom"/>
            <w:tcBorders>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left w:val="single" w:sz="8" w:color="CCEEFF"/>
              <w:right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80" w:type="dxa"/>
            <w:vAlign w:val="bottom"/>
            <w:tcBorders>
              <w:lef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80" w:type="dxa"/>
            <w:vAlign w:val="bottom"/>
            <w:tcBorders>
              <w:left w:val="single" w:sz="8" w:color="CCEEFF"/>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700" w:type="dxa"/>
            <w:vAlign w:val="bottom"/>
            <w:tcBorders>
              <w:left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8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80" w:type="dxa"/>
            <w:vAlign w:val="bottom"/>
            <w:tcBorders>
              <w:left w:val="single" w:sz="8" w:color="CCEEFF"/>
            </w:tcBorders>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60" w:type="dxa"/>
            <w:vAlign w:val="bottom"/>
          </w:tcPr>
          <w:p>
            <w:pPr>
              <w:spacing w:after="0"/>
              <w:rPr>
                <w:sz w:val="15"/>
                <w:szCs w:val="15"/>
                <w:color w:val="auto"/>
              </w:rPr>
            </w:pPr>
          </w:p>
        </w:tc>
        <w:tc>
          <w:tcPr>
            <w:tcW w:w="2760" w:type="dxa"/>
            <w:vAlign w:val="bottom"/>
            <w:gridSpan w:val="6"/>
          </w:tcPr>
          <w:p>
            <w:pPr>
              <w:ind w:left="20"/>
              <w:spacing w:after="0" w:line="176" w:lineRule="exact"/>
              <w:rPr>
                <w:sz w:val="20"/>
                <w:szCs w:val="20"/>
                <w:color w:val="auto"/>
              </w:rPr>
            </w:pPr>
            <w:r>
              <w:rPr>
                <w:rFonts w:ascii="Arial" w:cs="Arial" w:eastAsia="Arial" w:hAnsi="Arial"/>
                <w:sz w:val="18"/>
                <w:szCs w:val="18"/>
                <w:b w:val="1"/>
                <w:bCs w:val="1"/>
                <w:color w:val="auto"/>
              </w:rPr>
              <w:t>Taxes</w:t>
            </w:r>
          </w:p>
        </w:tc>
        <w:tc>
          <w:tcPr>
            <w:tcW w:w="420" w:type="dxa"/>
            <w:vAlign w:val="bottom"/>
            <w:gridSpan w:val="2"/>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3"/>
          </w:tcPr>
          <w:p>
            <w:pPr>
              <w:jc w:val="right"/>
              <w:ind w:right="10"/>
              <w:spacing w:after="0" w:line="176" w:lineRule="exact"/>
              <w:rPr>
                <w:sz w:val="20"/>
                <w:szCs w:val="20"/>
                <w:color w:val="auto"/>
              </w:rPr>
            </w:pPr>
            <w:r>
              <w:rPr>
                <w:rFonts w:ascii="Arial" w:cs="Arial" w:eastAsia="Arial" w:hAnsi="Arial"/>
                <w:sz w:val="18"/>
                <w:szCs w:val="18"/>
                <w:b w:val="1"/>
                <w:bCs w:val="1"/>
                <w:color w:val="auto"/>
              </w:rPr>
              <w:t>0</w:t>
            </w:r>
          </w:p>
        </w:tc>
        <w:tc>
          <w:tcPr>
            <w:tcW w:w="160" w:type="dxa"/>
            <w:vAlign w:val="bottom"/>
          </w:tcPr>
          <w:p>
            <w:pPr>
              <w:spacing w:after="0"/>
              <w:rPr>
                <w:sz w:val="15"/>
                <w:szCs w:val="15"/>
                <w:color w:val="auto"/>
              </w:rPr>
            </w:pPr>
          </w:p>
        </w:tc>
        <w:tc>
          <w:tcPr>
            <w:tcW w:w="120" w:type="dxa"/>
            <w:vAlign w:val="bottom"/>
            <w:gridSpan w:val="2"/>
          </w:tcPr>
          <w:p>
            <w:pPr>
              <w:jc w:val="right"/>
              <w:spacing w:after="0" w:line="176" w:lineRule="exact"/>
              <w:rPr>
                <w:sz w:val="20"/>
                <w:szCs w:val="20"/>
                <w:color w:val="auto"/>
              </w:rPr>
            </w:pPr>
            <w:r>
              <w:rPr>
                <w:rFonts w:ascii="Arial" w:cs="Arial" w:eastAsia="Arial" w:hAnsi="Arial"/>
                <w:sz w:val="18"/>
                <w:szCs w:val="18"/>
                <w:b w:val="1"/>
                <w:bCs w:val="1"/>
                <w:color w:val="auto"/>
                <w:w w:val="99"/>
              </w:rPr>
              <w:t>$</w:t>
            </w:r>
          </w:p>
        </w:tc>
        <w:tc>
          <w:tcPr>
            <w:tcW w:w="760" w:type="dxa"/>
            <w:vAlign w:val="bottom"/>
            <w:gridSpan w:val="4"/>
          </w:tcPr>
          <w:p>
            <w:pPr>
              <w:jc w:val="right"/>
              <w:ind w:right="60"/>
              <w:spacing w:after="0" w:line="176" w:lineRule="exact"/>
              <w:rPr>
                <w:sz w:val="20"/>
                <w:szCs w:val="20"/>
                <w:color w:val="auto"/>
              </w:rPr>
            </w:pPr>
            <w:r>
              <w:rPr>
                <w:rFonts w:ascii="Arial" w:cs="Arial" w:eastAsia="Arial" w:hAnsi="Arial"/>
                <w:sz w:val="18"/>
                <w:szCs w:val="18"/>
                <w:b w:val="1"/>
                <w:bCs w:val="1"/>
                <w:color w:val="auto"/>
              </w:rPr>
              <w:t>0</w:t>
            </w:r>
          </w:p>
        </w:tc>
        <w:tc>
          <w:tcPr>
            <w:tcW w:w="16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7"/>
          </w:tcPr>
          <w:p>
            <w:pPr>
              <w:jc w:val="right"/>
              <w:spacing w:after="0" w:line="176" w:lineRule="exact"/>
              <w:rPr>
                <w:sz w:val="20"/>
                <w:szCs w:val="20"/>
                <w:color w:val="auto"/>
              </w:rPr>
            </w:pPr>
            <w:r>
              <w:rPr>
                <w:rFonts w:ascii="Arial" w:cs="Arial" w:eastAsia="Arial" w:hAnsi="Arial"/>
                <w:sz w:val="18"/>
                <w:szCs w:val="18"/>
                <w:b w:val="1"/>
                <w:bCs w:val="1"/>
                <w:color w:val="auto"/>
              </w:rPr>
              <w:t>0</w:t>
            </w:r>
          </w:p>
        </w:tc>
        <w:tc>
          <w:tcPr>
            <w:tcW w:w="240" w:type="dxa"/>
            <w:vAlign w:val="bottom"/>
            <w:gridSpan w:val="3"/>
          </w:tcPr>
          <w:p>
            <w:pPr>
              <w:ind w:left="160"/>
              <w:spacing w:after="0"/>
              <w:rPr>
                <w:sz w:val="20"/>
                <w:szCs w:val="20"/>
                <w:color w:val="auto"/>
              </w:rPr>
            </w:pPr>
            <w:r>
              <w:rPr>
                <w:rFonts w:ascii="Arial" w:cs="Arial" w:eastAsia="Arial" w:hAnsi="Arial"/>
                <w:sz w:val="10"/>
                <w:szCs w:val="10"/>
                <w:b w:val="1"/>
                <w:bCs w:val="1"/>
                <w:color w:val="auto"/>
                <w:w w:val="71"/>
              </w:rPr>
              <w:t>$</w:t>
            </w:r>
          </w:p>
        </w:tc>
        <w:tc>
          <w:tcPr>
            <w:tcW w:w="80" w:type="dxa"/>
            <w:vAlign w:val="bottom"/>
          </w:tcPr>
          <w:p>
            <w:pPr>
              <w:spacing w:after="0"/>
              <w:rPr>
                <w:sz w:val="15"/>
                <w:szCs w:val="15"/>
                <w:color w:val="auto"/>
              </w:rPr>
            </w:pPr>
          </w:p>
        </w:tc>
        <w:tc>
          <w:tcPr>
            <w:tcW w:w="680" w:type="dxa"/>
            <w:vAlign w:val="bottom"/>
            <w:gridSpan w:val="7"/>
          </w:tcPr>
          <w:p>
            <w:pPr>
              <w:jc w:val="right"/>
              <w:spacing w:after="0" w:line="176" w:lineRule="exact"/>
              <w:rPr>
                <w:sz w:val="20"/>
                <w:szCs w:val="20"/>
                <w:color w:val="auto"/>
              </w:rPr>
            </w:pPr>
            <w:r>
              <w:rPr>
                <w:rFonts w:ascii="Arial" w:cs="Arial" w:eastAsia="Arial" w:hAnsi="Arial"/>
                <w:sz w:val="18"/>
                <w:szCs w:val="18"/>
                <w:b w:val="1"/>
                <w:bCs w:val="1"/>
                <w:color w:val="auto"/>
              </w:rPr>
              <w:t>(197)</w:t>
            </w:r>
          </w:p>
        </w:tc>
        <w:tc>
          <w:tcPr>
            <w:tcW w:w="240" w:type="dxa"/>
            <w:vAlign w:val="bottom"/>
            <w:gridSpan w:val="3"/>
          </w:tcPr>
          <w:p>
            <w:pPr>
              <w:ind w:left="160"/>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6"/>
          </w:tcPr>
          <w:p>
            <w:pPr>
              <w:jc w:val="right"/>
              <w:spacing w:after="0" w:line="176" w:lineRule="exact"/>
              <w:rPr>
                <w:sz w:val="20"/>
                <w:szCs w:val="20"/>
                <w:color w:val="auto"/>
              </w:rPr>
            </w:pPr>
            <w:r>
              <w:rPr>
                <w:rFonts w:ascii="Arial" w:cs="Arial" w:eastAsia="Arial" w:hAnsi="Arial"/>
                <w:sz w:val="18"/>
                <w:szCs w:val="18"/>
                <w:b w:val="1"/>
                <w:bCs w:val="1"/>
                <w:color w:val="auto"/>
              </w:rPr>
              <w:t>(387)</w:t>
            </w:r>
          </w:p>
        </w:tc>
        <w:tc>
          <w:tcPr>
            <w:tcW w:w="80" w:type="dxa"/>
            <w:vAlign w:val="bottom"/>
          </w:tcPr>
          <w:p>
            <w:pPr>
              <w:spacing w:after="0"/>
              <w:rPr>
                <w:sz w:val="15"/>
                <w:szCs w:val="15"/>
                <w:color w:val="auto"/>
              </w:rPr>
            </w:pPr>
          </w:p>
        </w:tc>
        <w:tc>
          <w:tcPr>
            <w:tcW w:w="220" w:type="dxa"/>
            <w:vAlign w:val="bottom"/>
            <w:gridSpan w:val="3"/>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5"/>
                <w:szCs w:val="15"/>
                <w:color w:val="auto"/>
              </w:rPr>
            </w:pPr>
          </w:p>
        </w:tc>
        <w:tc>
          <w:tcPr>
            <w:tcW w:w="680" w:type="dxa"/>
            <w:vAlign w:val="bottom"/>
            <w:gridSpan w:val="7"/>
          </w:tcPr>
          <w:p>
            <w:pPr>
              <w:jc w:val="right"/>
              <w:spacing w:after="0" w:line="176" w:lineRule="exact"/>
              <w:rPr>
                <w:sz w:val="20"/>
                <w:szCs w:val="20"/>
                <w:color w:val="auto"/>
              </w:rPr>
            </w:pPr>
            <w:r>
              <w:rPr>
                <w:rFonts w:ascii="Arial" w:cs="Arial" w:eastAsia="Arial" w:hAnsi="Arial"/>
                <w:sz w:val="18"/>
                <w:szCs w:val="18"/>
                <w:b w:val="1"/>
                <w:bCs w:val="1"/>
                <w:color w:val="auto"/>
              </w:rPr>
              <w:t>(483)</w:t>
            </w:r>
          </w:p>
        </w:tc>
        <w:tc>
          <w:tcPr>
            <w:tcW w:w="260" w:type="dxa"/>
            <w:vAlign w:val="bottom"/>
            <w:gridSpan w:val="2"/>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680" w:type="dxa"/>
            <w:vAlign w:val="bottom"/>
            <w:gridSpan w:val="6"/>
          </w:tcPr>
          <w:p>
            <w:pPr>
              <w:jc w:val="right"/>
              <w:spacing w:after="0" w:line="176" w:lineRule="exact"/>
              <w:rPr>
                <w:sz w:val="20"/>
                <w:szCs w:val="20"/>
                <w:color w:val="auto"/>
              </w:rPr>
            </w:pPr>
            <w:r>
              <w:rPr>
                <w:rFonts w:ascii="Arial" w:cs="Arial" w:eastAsia="Arial" w:hAnsi="Arial"/>
                <w:sz w:val="18"/>
                <w:szCs w:val="18"/>
                <w:b w:val="1"/>
                <w:bCs w:val="1"/>
                <w:color w:val="auto"/>
              </w:rPr>
              <w:t>(550</w:t>
            </w: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5"/>
          </w:tcPr>
          <w:p>
            <w:pPr>
              <w:jc w:val="right"/>
              <w:spacing w:after="0" w:line="176" w:lineRule="exact"/>
              <w:rPr>
                <w:sz w:val="20"/>
                <w:szCs w:val="20"/>
                <w:color w:val="auto"/>
              </w:rPr>
            </w:pPr>
            <w:r>
              <w:rPr>
                <w:rFonts w:ascii="Arial" w:cs="Arial" w:eastAsia="Arial" w:hAnsi="Arial"/>
                <w:sz w:val="18"/>
                <w:szCs w:val="18"/>
                <w:b w:val="1"/>
                <w:bCs w:val="1"/>
                <w:color w:val="auto"/>
              </w:rPr>
              <w:t>(554</w:t>
            </w: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6"/>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gridSpan w:val="5"/>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00" w:type="dxa"/>
            <w:vAlign w:val="bottom"/>
            <w:tcBorders>
              <w:top w:val="single" w:sz="8" w:color="auto"/>
              <w:bottom w:val="single" w:sz="8" w:color="auto"/>
            </w:tcBorders>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tcBorders>
              <w:top w:val="single" w:sz="8" w:color="auto"/>
              <w:bottom w:val="single" w:sz="8" w:color="auto"/>
            </w:tcBorders>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2280" w:type="dxa"/>
            <w:vAlign w:val="bottom"/>
            <w:tcBorders>
              <w:right w:val="single" w:sz="8" w:color="CCEEFF"/>
            </w:tcBorders>
            <w:gridSpan w:val="4"/>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91"/>
              </w:rPr>
              <w:t>Depreciation &amp; Amortization</w:t>
            </w:r>
          </w:p>
        </w:tc>
        <w:tc>
          <w:tcPr>
            <w:tcW w:w="480" w:type="dxa"/>
            <w:vAlign w:val="bottom"/>
            <w:gridSpan w:val="2"/>
            <w:shd w:val="clear" w:color="auto" w:fill="CCEEFF"/>
          </w:tcPr>
          <w:p>
            <w:pPr>
              <w:spacing w:after="0"/>
              <w:rPr>
                <w:sz w:val="15"/>
                <w:szCs w:val="15"/>
                <w:color w:val="auto"/>
              </w:rPr>
            </w:pPr>
          </w:p>
        </w:tc>
        <w:tc>
          <w:tcPr>
            <w:tcW w:w="360" w:type="dxa"/>
            <w:vAlign w:val="bottom"/>
            <w:tcBorders>
              <w:right w:val="single" w:sz="8" w:color="CCEEFF"/>
            </w:tcBorders>
            <w:shd w:val="clear" w:color="auto" w:fill="CCEEFF"/>
          </w:tcPr>
          <w:p>
            <w:pPr>
              <w:spacing w:after="0"/>
              <w:rPr>
                <w:sz w:val="15"/>
                <w:szCs w:val="15"/>
                <w:color w:val="auto"/>
              </w:rPr>
            </w:pPr>
          </w:p>
        </w:tc>
        <w:tc>
          <w:tcPr>
            <w:tcW w:w="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tcBorders>
              <w:right w:val="single" w:sz="8" w:color="CCEEFF"/>
            </w:tcBorders>
            <w:gridSpan w:val="3"/>
            <w:shd w:val="clear" w:color="auto" w:fill="CCEEFF"/>
          </w:tcPr>
          <w:p>
            <w:pPr>
              <w:jc w:val="right"/>
              <w:ind w:right="10"/>
              <w:spacing w:after="0" w:line="156" w:lineRule="exact"/>
              <w:rPr>
                <w:sz w:val="20"/>
                <w:szCs w:val="20"/>
                <w:color w:val="auto"/>
              </w:rPr>
            </w:pPr>
            <w:r>
              <w:rPr>
                <w:rFonts w:ascii="Arial" w:cs="Arial" w:eastAsia="Arial" w:hAnsi="Arial"/>
                <w:sz w:val="18"/>
                <w:szCs w:val="18"/>
                <w:b w:val="1"/>
                <w:bCs w:val="1"/>
                <w:color w:val="auto"/>
              </w:rPr>
              <w:t>0</w:t>
            </w:r>
          </w:p>
        </w:tc>
        <w:tc>
          <w:tcPr>
            <w:tcW w:w="160" w:type="dxa"/>
            <w:vAlign w:val="bottom"/>
            <w:tcBorders>
              <w:left w:val="single" w:sz="8" w:color="CCEEFF"/>
            </w:tcBorders>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99"/>
              </w:rPr>
              <w:t>$</w:t>
            </w:r>
          </w:p>
        </w:tc>
        <w:tc>
          <w:tcPr>
            <w:tcW w:w="760" w:type="dxa"/>
            <w:vAlign w:val="bottom"/>
            <w:tcBorders>
              <w:right w:val="single" w:sz="8" w:color="CCEEFF"/>
            </w:tcBorders>
            <w:gridSpan w:val="4"/>
            <w:shd w:val="clear" w:color="auto" w:fill="CCEEFF"/>
          </w:tcPr>
          <w:p>
            <w:pPr>
              <w:jc w:val="right"/>
              <w:ind w:right="60"/>
              <w:spacing w:after="0" w:line="156" w:lineRule="exact"/>
              <w:rPr>
                <w:sz w:val="20"/>
                <w:szCs w:val="20"/>
                <w:color w:val="auto"/>
              </w:rPr>
            </w:pPr>
            <w:r>
              <w:rPr>
                <w:rFonts w:ascii="Arial" w:cs="Arial" w:eastAsia="Arial" w:hAnsi="Arial"/>
                <w:sz w:val="18"/>
                <w:szCs w:val="18"/>
                <w:b w:val="1"/>
                <w:bCs w:val="1"/>
                <w:color w:val="auto"/>
              </w:rPr>
              <w:t>0</w:t>
            </w:r>
          </w:p>
        </w:tc>
        <w:tc>
          <w:tcPr>
            <w:tcW w:w="16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w w:val="71"/>
              </w:rPr>
              <w:t>$</w:t>
            </w:r>
          </w:p>
        </w:tc>
        <w:tc>
          <w:tcPr>
            <w:tcW w:w="780" w:type="dxa"/>
            <w:vAlign w:val="bottom"/>
            <w:tcBorders>
              <w:left w:val="single" w:sz="8" w:color="CCEEFF"/>
              <w:right w:val="single" w:sz="8" w:color="CCEEFF"/>
            </w:tcBorders>
            <w:gridSpan w:val="7"/>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rPr>
              <w:t>0</w:t>
            </w:r>
          </w:p>
        </w:tc>
        <w:tc>
          <w:tcPr>
            <w:tcW w:w="240" w:type="dxa"/>
            <w:vAlign w:val="bottom"/>
            <w:tcBorders>
              <w:right w:val="single" w:sz="8" w:color="CCEEFF"/>
            </w:tcBorders>
            <w:gridSpan w:val="3"/>
            <w:shd w:val="clear" w:color="auto" w:fill="CCEEFF"/>
          </w:tcPr>
          <w:p>
            <w:pPr>
              <w:ind w:left="160"/>
              <w:spacing w:after="0"/>
              <w:rPr>
                <w:sz w:val="20"/>
                <w:szCs w:val="20"/>
                <w:color w:val="auto"/>
              </w:rPr>
            </w:pPr>
            <w:r>
              <w:rPr>
                <w:rFonts w:ascii="Arial" w:cs="Arial" w:eastAsia="Arial" w:hAnsi="Arial"/>
                <w:sz w:val="10"/>
                <w:szCs w:val="10"/>
                <w:b w:val="1"/>
                <w:bCs w:val="1"/>
                <w:color w:val="auto"/>
                <w:w w:val="71"/>
              </w:rPr>
              <w:t>$</w:t>
            </w:r>
          </w:p>
        </w:tc>
        <w:tc>
          <w:tcPr>
            <w:tcW w:w="80" w:type="dxa"/>
            <w:vAlign w:val="bottom"/>
            <w:tcBorders>
              <w:left w:val="single" w:sz="8" w:color="CCEEFF"/>
            </w:tcBorders>
            <w:shd w:val="clear" w:color="auto" w:fill="CCEEFF"/>
          </w:tcPr>
          <w:p>
            <w:pPr>
              <w:spacing w:after="0"/>
              <w:rPr>
                <w:sz w:val="15"/>
                <w:szCs w:val="15"/>
                <w:color w:val="auto"/>
              </w:rPr>
            </w:pPr>
          </w:p>
        </w:tc>
        <w:tc>
          <w:tcPr>
            <w:tcW w:w="600" w:type="dxa"/>
            <w:vAlign w:val="bottom"/>
            <w:tcBorders>
              <w:right w:val="single" w:sz="8" w:color="CCEEFF"/>
            </w:tcBorders>
            <w:gridSpan w:val="6"/>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rPr>
              <w:t>0</w:t>
            </w:r>
          </w:p>
        </w:tc>
        <w:tc>
          <w:tcPr>
            <w:tcW w:w="80" w:type="dxa"/>
            <w:vAlign w:val="bottom"/>
            <w:tcBorders>
              <w:left w:val="single" w:sz="8" w:color="CCEEFF"/>
              <w:right w:val="single" w:sz="8" w:color="CCEEFF"/>
            </w:tcBorders>
            <w:shd w:val="clear" w:color="auto" w:fill="CCEEFF"/>
          </w:tcPr>
          <w:p>
            <w:pPr>
              <w:spacing w:after="0"/>
              <w:rPr>
                <w:sz w:val="15"/>
                <w:szCs w:val="15"/>
                <w:color w:val="auto"/>
              </w:rPr>
            </w:pP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left w:val="single" w:sz="8" w:color="CCEEFF"/>
            </w:tcBorders>
            <w:gridSpan w:val="6"/>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rPr>
              <w:t>1</w:t>
            </w:r>
          </w:p>
        </w:tc>
        <w:tc>
          <w:tcPr>
            <w:tcW w:w="80" w:type="dxa"/>
            <w:vAlign w:val="bottom"/>
            <w:tcBorders>
              <w:left w:val="single" w:sz="8" w:color="CCEEFF"/>
            </w:tcBorders>
            <w:shd w:val="clear" w:color="auto" w:fill="CCEEFF"/>
          </w:tcPr>
          <w:p>
            <w:pPr>
              <w:spacing w:after="0"/>
              <w:rPr>
                <w:sz w:val="15"/>
                <w:szCs w:val="15"/>
                <w:color w:val="auto"/>
              </w:rPr>
            </w:pPr>
          </w:p>
        </w:tc>
        <w:tc>
          <w:tcPr>
            <w:tcW w:w="220" w:type="dxa"/>
            <w:vAlign w:val="bottom"/>
            <w:gridSpan w:val="3"/>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rPr>
              <w:t>$</w:t>
            </w:r>
          </w:p>
        </w:tc>
        <w:tc>
          <w:tcPr>
            <w:tcW w:w="100" w:type="dxa"/>
            <w:vAlign w:val="bottom"/>
            <w:tcBorders>
              <w:left w:val="single" w:sz="8" w:color="CCEEFF"/>
            </w:tcBorders>
            <w:shd w:val="clear" w:color="auto" w:fill="CCEEFF"/>
          </w:tcPr>
          <w:p>
            <w:pPr>
              <w:spacing w:after="0"/>
              <w:rPr>
                <w:sz w:val="15"/>
                <w:szCs w:val="15"/>
                <w:color w:val="auto"/>
              </w:rPr>
            </w:pPr>
          </w:p>
        </w:tc>
        <w:tc>
          <w:tcPr>
            <w:tcW w:w="600" w:type="dxa"/>
            <w:vAlign w:val="bottom"/>
            <w:gridSpan w:val="6"/>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rPr>
              <w:t>1</w:t>
            </w:r>
          </w:p>
        </w:tc>
        <w:tc>
          <w:tcPr>
            <w:tcW w:w="80" w:type="dxa"/>
            <w:vAlign w:val="bottom"/>
            <w:tcBorders>
              <w:left w:val="single" w:sz="8" w:color="CCEEFF"/>
            </w:tcBorders>
            <w:shd w:val="clear" w:color="auto" w:fill="CCEEFF"/>
          </w:tcPr>
          <w:p>
            <w:pPr>
              <w:spacing w:after="0"/>
              <w:rPr>
                <w:sz w:val="15"/>
                <w:szCs w:val="15"/>
                <w:color w:val="auto"/>
              </w:rPr>
            </w:pPr>
          </w:p>
        </w:tc>
        <w:tc>
          <w:tcPr>
            <w:tcW w:w="260" w:type="dxa"/>
            <w:vAlign w:val="bottom"/>
            <w:tcBorders>
              <w:right w:val="single" w:sz="8" w:color="CCEEFF"/>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rPr>
              <w:t>$</w:t>
            </w:r>
          </w:p>
        </w:tc>
        <w:tc>
          <w:tcPr>
            <w:tcW w:w="680" w:type="dxa"/>
            <w:vAlign w:val="bottom"/>
            <w:gridSpan w:val="6"/>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rPr>
              <w:t>1</w:t>
            </w:r>
          </w:p>
        </w:tc>
        <w:tc>
          <w:tcPr>
            <w:tcW w:w="24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w w:val="71"/>
              </w:rPr>
              <w:t>$</w:t>
            </w:r>
          </w:p>
        </w:tc>
        <w:tc>
          <w:tcPr>
            <w:tcW w:w="700" w:type="dxa"/>
            <w:vAlign w:val="bottom"/>
            <w:tcBorders>
              <w:right w:val="single" w:sz="8" w:color="CCEEFF"/>
            </w:tcBorders>
            <w:gridSpan w:val="4"/>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rPr>
              <w:t>1</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auto"/>
              <w:right w:val="single" w:sz="8" w:color="CCEEFF"/>
            </w:tcBorders>
            <w:gridSpan w:val="4"/>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left w:val="single" w:sz="8" w:color="CCEEFF"/>
              <w:right w:val="single" w:sz="8" w:color="auto"/>
            </w:tcBorders>
            <w:gridSpan w:val="2"/>
            <w:shd w:val="clear" w:color="auto" w:fill="CCEEFF"/>
          </w:tcPr>
          <w:p>
            <w:pPr>
              <w:spacing w:after="0" w:line="20" w:lineRule="exact"/>
              <w:rPr>
                <w:sz w:val="1"/>
                <w:szCs w:val="1"/>
                <w:color w:val="auto"/>
              </w:rPr>
            </w:pPr>
          </w:p>
        </w:tc>
        <w:tc>
          <w:tcPr>
            <w:tcW w:w="60" w:type="dxa"/>
            <w:vAlign w:val="bottom"/>
            <w:tcBorders>
              <w:top w:val="single" w:sz="8" w:color="auto"/>
              <w:left w:val="single" w:sz="8" w:color="auto"/>
            </w:tcBorders>
            <w:shd w:val="clear" w:color="auto" w:fill="CCEEFF"/>
          </w:tcPr>
          <w:p>
            <w:pPr>
              <w:spacing w:after="0" w:line="20" w:lineRule="exact"/>
              <w:rPr>
                <w:sz w:val="1"/>
                <w:szCs w:val="1"/>
                <w:color w:val="auto"/>
              </w:rPr>
            </w:pPr>
          </w:p>
        </w:tc>
        <w:tc>
          <w:tcPr>
            <w:tcW w:w="480" w:type="dxa"/>
            <w:vAlign w:val="bottom"/>
            <w:tcBorders>
              <w:top w:val="single" w:sz="8" w:color="CCEEFF"/>
              <w:right w:val="single" w:sz="8" w:color="CCEEFF"/>
            </w:tcBorders>
            <w:gridSpan w:val="3"/>
            <w:shd w:val="clear" w:color="auto" w:fill="CCEEFF"/>
          </w:tcPr>
          <w:p>
            <w:pPr>
              <w:spacing w:after="0" w:line="20" w:lineRule="exact"/>
              <w:rPr>
                <w:sz w:val="1"/>
                <w:szCs w:val="1"/>
                <w:color w:val="auto"/>
              </w:rPr>
            </w:pPr>
          </w:p>
        </w:tc>
        <w:tc>
          <w:tcPr>
            <w:tcW w:w="14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right w:val="single" w:sz="8" w:color="auto"/>
            </w:tcBorders>
            <w:gridSpan w:val="2"/>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CCEEFF"/>
              <w:right w:val="single" w:sz="8" w:color="CCEEFF"/>
            </w:tcBorders>
            <w:gridSpan w:val="2"/>
            <w:shd w:val="clear" w:color="auto" w:fill="CCEEFF"/>
          </w:tcPr>
          <w:p>
            <w:pPr>
              <w:spacing w:after="0" w:line="20" w:lineRule="exact"/>
              <w:rPr>
                <w:sz w:val="1"/>
                <w:szCs w:val="1"/>
                <w:color w:val="auto"/>
              </w:rPr>
            </w:pPr>
          </w:p>
        </w:tc>
        <w:tc>
          <w:tcPr>
            <w:tcW w:w="180" w:type="dxa"/>
            <w:vAlign w:val="bottom"/>
            <w:tcBorders>
              <w:top w:val="single" w:sz="8" w:color="auto"/>
              <w:left w:val="single" w:sz="8" w:color="CCEEFF"/>
              <w:right w:val="single" w:sz="8" w:color="auto"/>
            </w:tcBorders>
            <w:gridSpan w:val="2"/>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left w:val="single" w:sz="8" w:color="auto"/>
            </w:tcBorders>
            <w:gridSpan w:val="3"/>
            <w:shd w:val="clear" w:color="auto" w:fill="CCEEFF"/>
          </w:tcPr>
          <w:p>
            <w:pPr>
              <w:spacing w:after="0" w:line="20" w:lineRule="exact"/>
              <w:rPr>
                <w:sz w:val="1"/>
                <w:szCs w:val="1"/>
                <w:color w:val="auto"/>
              </w:rPr>
            </w:pPr>
          </w:p>
        </w:tc>
        <w:tc>
          <w:tcPr>
            <w:tcW w:w="260" w:type="dxa"/>
            <w:vAlign w:val="bottom"/>
            <w:tcBorders>
              <w:top w:val="single" w:sz="8" w:color="CCEEFF"/>
              <w:left w:val="single" w:sz="8" w:color="CCEEFF"/>
              <w:right w:val="single" w:sz="8" w:color="auto"/>
            </w:tcBorders>
            <w:gridSpan w:val="3"/>
            <w:shd w:val="clear" w:color="auto" w:fill="CCEEFF"/>
          </w:tcPr>
          <w:p>
            <w:pPr>
              <w:spacing w:after="0" w:line="20" w:lineRule="exact"/>
              <w:rPr>
                <w:sz w:val="1"/>
                <w:szCs w:val="1"/>
                <w:color w:val="auto"/>
              </w:rPr>
            </w:pPr>
          </w:p>
        </w:tc>
        <w:tc>
          <w:tcPr>
            <w:tcW w:w="100" w:type="dxa"/>
            <w:vAlign w:val="bottom"/>
            <w:tcBorders>
              <w:top w:val="single" w:sz="8" w:color="auto"/>
              <w:left w:val="single" w:sz="8" w:color="auto"/>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gridSpan w:val="2"/>
            <w:shd w:val="clear" w:color="auto" w:fill="CCEEFF"/>
          </w:tcPr>
          <w:p>
            <w:pPr>
              <w:spacing w:after="0" w:line="20" w:lineRule="exact"/>
              <w:rPr>
                <w:sz w:val="1"/>
                <w:szCs w:val="1"/>
                <w:color w:val="auto"/>
              </w:rPr>
            </w:pPr>
          </w:p>
        </w:tc>
        <w:tc>
          <w:tcPr>
            <w:tcW w:w="80" w:type="dxa"/>
            <w:vAlign w:val="bottom"/>
            <w:tcBorders>
              <w:top w:val="single" w:sz="8" w:color="auto"/>
              <w:left w:val="single" w:sz="8" w:color="CCEEFF"/>
              <w:right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left w:val="single" w:sz="8" w:color="auto"/>
              <w:right w:val="single" w:sz="8" w:color="CCEEFF"/>
            </w:tcBorders>
            <w:gridSpan w:val="2"/>
            <w:shd w:val="clear" w:color="auto" w:fill="CCEEFF"/>
          </w:tcPr>
          <w:p>
            <w:pPr>
              <w:spacing w:after="0" w:line="20" w:lineRule="exact"/>
              <w:rPr>
                <w:sz w:val="1"/>
                <w:szCs w:val="1"/>
                <w:color w:val="auto"/>
              </w:rPr>
            </w:pPr>
          </w:p>
        </w:tc>
        <w:tc>
          <w:tcPr>
            <w:tcW w:w="300" w:type="dxa"/>
            <w:vAlign w:val="bottom"/>
            <w:tcBorders>
              <w:top w:val="single" w:sz="8" w:color="CCEEFF"/>
              <w:right w:val="single" w:sz="8" w:color="auto"/>
            </w:tcBorders>
            <w:gridSpan w:val="5"/>
            <w:shd w:val="clear" w:color="auto" w:fill="CCEEFF"/>
          </w:tcPr>
          <w:p>
            <w:pPr>
              <w:spacing w:after="0" w:line="20" w:lineRule="exact"/>
              <w:rPr>
                <w:sz w:val="1"/>
                <w:szCs w:val="1"/>
                <w:color w:val="auto"/>
              </w:rPr>
            </w:pPr>
          </w:p>
        </w:tc>
        <w:tc>
          <w:tcPr>
            <w:tcW w:w="80" w:type="dxa"/>
            <w:vAlign w:val="bottom"/>
            <w:tcBorders>
              <w:top w:val="single" w:sz="8" w:color="CCEEFF"/>
              <w:left w:val="single" w:sz="8" w:color="auto"/>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gridSpan w:val="2"/>
            <w:shd w:val="clear" w:color="auto" w:fill="CCEEFF"/>
          </w:tcPr>
          <w:p>
            <w:pPr>
              <w:spacing w:after="0" w:line="20" w:lineRule="exact"/>
              <w:rPr>
                <w:sz w:val="1"/>
                <w:szCs w:val="1"/>
                <w:color w:val="auto"/>
              </w:rPr>
            </w:pPr>
          </w:p>
        </w:tc>
        <w:tc>
          <w:tcPr>
            <w:tcW w:w="80" w:type="dxa"/>
            <w:vAlign w:val="bottom"/>
            <w:tcBorders>
              <w:top w:val="single" w:sz="8" w:color="auto"/>
              <w:left w:val="single" w:sz="8" w:color="CCEEFF"/>
            </w:tcBorders>
            <w:shd w:val="clear" w:color="auto" w:fill="000000"/>
          </w:tcPr>
          <w:p>
            <w:pPr>
              <w:spacing w:after="0" w:line="20" w:lineRule="exact"/>
              <w:rPr>
                <w:sz w:val="1"/>
                <w:szCs w:val="1"/>
                <w:color w:val="auto"/>
              </w:rPr>
            </w:pPr>
          </w:p>
        </w:tc>
        <w:tc>
          <w:tcPr>
            <w:tcW w:w="620" w:type="dxa"/>
            <w:vAlign w:val="bottom"/>
            <w:tcBorders>
              <w:top w:val="single" w:sz="8" w:color="CCEEFF"/>
              <w:left w:val="single" w:sz="8" w:color="auto"/>
              <w:right w:val="single" w:sz="8" w:color="CCEEFF"/>
            </w:tcBorders>
            <w:gridSpan w:val="5"/>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tcBorders>
            <w:gridSpan w:val="3"/>
            <w:shd w:val="clear" w:color="auto" w:fill="CCEEFF"/>
          </w:tcPr>
          <w:p>
            <w:pPr>
              <w:spacing w:after="0" w:line="20" w:lineRule="exact"/>
              <w:rPr>
                <w:sz w:val="1"/>
                <w:szCs w:val="1"/>
                <w:color w:val="auto"/>
              </w:rPr>
            </w:pPr>
          </w:p>
        </w:tc>
        <w:tc>
          <w:tcPr>
            <w:tcW w:w="60" w:type="dxa"/>
            <w:vAlign w:val="bottom"/>
            <w:tcBorders>
              <w:top w:val="single" w:sz="8" w:color="auto"/>
              <w:left w:val="single" w:sz="8" w:color="CCEEFF"/>
            </w:tcBorders>
            <w:shd w:val="clear" w:color="auto" w:fill="000000"/>
          </w:tcPr>
          <w:p>
            <w:pPr>
              <w:spacing w:after="0" w:line="20" w:lineRule="exact"/>
              <w:rPr>
                <w:sz w:val="1"/>
                <w:szCs w:val="1"/>
                <w:color w:val="auto"/>
              </w:rPr>
            </w:pPr>
          </w:p>
        </w:tc>
        <w:tc>
          <w:tcPr>
            <w:tcW w:w="620" w:type="dxa"/>
            <w:vAlign w:val="bottom"/>
            <w:tcBorders>
              <w:top w:val="single" w:sz="8" w:color="CCEEFF"/>
              <w:left w:val="single" w:sz="8" w:color="auto"/>
              <w:right w:val="single" w:sz="8" w:color="CCEEFF"/>
            </w:tcBorders>
            <w:gridSpan w:val="6"/>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right w:val="single" w:sz="8" w:color="CCEEFF"/>
            </w:tcBorders>
            <w:gridSpan w:val="2"/>
            <w:shd w:val="clear" w:color="auto" w:fill="CCEEFF"/>
          </w:tcPr>
          <w:p>
            <w:pPr>
              <w:spacing w:after="0" w:line="20" w:lineRule="exact"/>
              <w:rPr>
                <w:sz w:val="1"/>
                <w:szCs w:val="1"/>
                <w:color w:val="auto"/>
              </w:rPr>
            </w:pPr>
          </w:p>
        </w:tc>
        <w:tc>
          <w:tcPr>
            <w:tcW w:w="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580" w:type="dxa"/>
            <w:vAlign w:val="bottom"/>
            <w:tcBorders>
              <w:top w:val="single" w:sz="8" w:color="CCEEFF"/>
              <w:right w:val="single" w:sz="8" w:color="CCEEFF"/>
            </w:tcBorders>
            <w:gridSpan w:val="5"/>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CEEFF"/>
              <w:right w:val="single" w:sz="8" w:color="CCEEFF"/>
            </w:tcBorders>
            <w:gridSpan w:val="2"/>
            <w:shd w:val="clear" w:color="auto" w:fill="CCEEFF"/>
          </w:tcPr>
          <w:p>
            <w:pPr>
              <w:spacing w:after="0" w:line="20" w:lineRule="exact"/>
              <w:rPr>
                <w:sz w:val="1"/>
                <w:szCs w:val="1"/>
                <w:color w:val="auto"/>
              </w:rPr>
            </w:pPr>
          </w:p>
        </w:tc>
        <w:tc>
          <w:tcPr>
            <w:tcW w:w="240" w:type="dxa"/>
            <w:vAlign w:val="bottom"/>
            <w:tcBorders>
              <w:top w:val="single" w:sz="8" w:color="CCEEFF"/>
              <w:right w:val="single" w:sz="8" w:color="auto"/>
            </w:tcBorders>
            <w:gridSpan w:val="2"/>
            <w:shd w:val="clear" w:color="auto" w:fill="CCEEFF"/>
          </w:tcPr>
          <w:p>
            <w:pPr>
              <w:spacing w:after="0" w:line="20" w:lineRule="exact"/>
              <w:rPr>
                <w:sz w:val="1"/>
                <w:szCs w:val="1"/>
                <w:color w:val="auto"/>
              </w:rPr>
            </w:pPr>
          </w:p>
        </w:tc>
        <w:tc>
          <w:tcPr>
            <w:tcW w:w="100" w:type="dxa"/>
            <w:vAlign w:val="bottom"/>
            <w:tcBorders>
              <w:top w:val="single" w:sz="8" w:color="CCEEFF"/>
            </w:tcBorders>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60" w:type="dxa"/>
            <w:vAlign w:val="bottom"/>
          </w:tcPr>
          <w:p>
            <w:pPr>
              <w:spacing w:after="0"/>
              <w:rPr>
                <w:sz w:val="13"/>
                <w:szCs w:val="13"/>
                <w:color w:val="auto"/>
              </w:rPr>
            </w:pPr>
          </w:p>
        </w:tc>
        <w:tc>
          <w:tcPr>
            <w:tcW w:w="2280" w:type="dxa"/>
            <w:vAlign w:val="bottom"/>
            <w:gridSpan w:val="4"/>
          </w:tcPr>
          <w:p>
            <w:pPr>
              <w:ind w:left="20"/>
              <w:spacing w:after="0" w:line="156" w:lineRule="exact"/>
              <w:rPr>
                <w:sz w:val="20"/>
                <w:szCs w:val="20"/>
                <w:color w:val="auto"/>
              </w:rPr>
            </w:pPr>
            <w:r>
              <w:rPr>
                <w:rFonts w:ascii="Arial" w:cs="Arial" w:eastAsia="Arial" w:hAnsi="Arial"/>
                <w:sz w:val="18"/>
                <w:szCs w:val="18"/>
                <w:b w:val="1"/>
                <w:bCs w:val="1"/>
                <w:color w:val="auto"/>
              </w:rPr>
              <w:t>Capital Expenditures</w:t>
            </w:r>
          </w:p>
        </w:tc>
        <w:tc>
          <w:tcPr>
            <w:tcW w:w="480" w:type="dxa"/>
            <w:vAlign w:val="bottom"/>
            <w:gridSpan w:val="2"/>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gridSpan w:val="3"/>
          </w:tcPr>
          <w:p>
            <w:pPr>
              <w:jc w:val="right"/>
              <w:ind w:right="10"/>
              <w:spacing w:after="0" w:line="156" w:lineRule="exact"/>
              <w:rPr>
                <w:sz w:val="20"/>
                <w:szCs w:val="20"/>
                <w:color w:val="auto"/>
              </w:rPr>
            </w:pPr>
            <w:r>
              <w:rPr>
                <w:rFonts w:ascii="Arial" w:cs="Arial" w:eastAsia="Arial" w:hAnsi="Arial"/>
                <w:sz w:val="18"/>
                <w:szCs w:val="18"/>
                <w:b w:val="1"/>
                <w:bCs w:val="1"/>
                <w:color w:val="auto"/>
              </w:rPr>
              <w:t>0</w:t>
            </w:r>
          </w:p>
        </w:tc>
        <w:tc>
          <w:tcPr>
            <w:tcW w:w="160" w:type="dxa"/>
            <w:vAlign w:val="bottom"/>
          </w:tcPr>
          <w:p>
            <w:pPr>
              <w:spacing w:after="0"/>
              <w:rPr>
                <w:sz w:val="13"/>
                <w:szCs w:val="13"/>
                <w:color w:val="auto"/>
              </w:rPr>
            </w:pPr>
          </w:p>
        </w:tc>
        <w:tc>
          <w:tcPr>
            <w:tcW w:w="12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auto"/>
                <w:w w:val="99"/>
              </w:rPr>
              <w:t>$</w:t>
            </w:r>
          </w:p>
        </w:tc>
        <w:tc>
          <w:tcPr>
            <w:tcW w:w="760" w:type="dxa"/>
            <w:vAlign w:val="bottom"/>
            <w:gridSpan w:val="4"/>
          </w:tcPr>
          <w:p>
            <w:pPr>
              <w:jc w:val="right"/>
              <w:spacing w:after="0" w:line="156" w:lineRule="exact"/>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w:t>
            </w:r>
          </w:p>
        </w:tc>
        <w:tc>
          <w:tcPr>
            <w:tcW w:w="160" w:type="dxa"/>
            <w:vAlign w:val="bottom"/>
          </w:tcPr>
          <w:p>
            <w:pPr>
              <w:spacing w:after="0"/>
              <w:rPr>
                <w:sz w:val="13"/>
                <w:szCs w:val="13"/>
                <w:color w:val="auto"/>
              </w:rPr>
            </w:pPr>
          </w:p>
        </w:tc>
        <w:tc>
          <w:tcPr>
            <w:tcW w:w="60" w:type="dxa"/>
            <w:vAlign w:val="bottom"/>
          </w:tcPr>
          <w:p>
            <w:pPr>
              <w:jc w:val="right"/>
              <w:spacing w:after="0" w:line="156" w:lineRule="exact"/>
              <w:rPr>
                <w:sz w:val="20"/>
                <w:szCs w:val="20"/>
                <w:color w:val="auto"/>
              </w:rPr>
            </w:pPr>
            <w:r>
              <w:rPr>
                <w:rFonts w:ascii="Arial" w:cs="Arial" w:eastAsia="Arial" w:hAnsi="Arial"/>
                <w:sz w:val="15"/>
                <w:szCs w:val="15"/>
                <w:b w:val="1"/>
                <w:bCs w:val="1"/>
                <w:color w:val="auto"/>
                <w:w w:val="71"/>
              </w:rPr>
              <w:t>$</w:t>
            </w:r>
          </w:p>
        </w:tc>
        <w:tc>
          <w:tcPr>
            <w:tcW w:w="780" w:type="dxa"/>
            <w:vAlign w:val="bottom"/>
            <w:gridSpan w:val="7"/>
          </w:tcPr>
          <w:p>
            <w:pPr>
              <w:jc w:val="right"/>
              <w:spacing w:after="0" w:line="156" w:lineRule="exact"/>
              <w:rPr>
                <w:sz w:val="20"/>
                <w:szCs w:val="20"/>
                <w:color w:val="auto"/>
              </w:rPr>
            </w:pPr>
            <w:r>
              <w:rPr>
                <w:rFonts w:ascii="Arial" w:cs="Arial" w:eastAsia="Arial" w:hAnsi="Arial"/>
                <w:sz w:val="18"/>
                <w:szCs w:val="18"/>
                <w:b w:val="1"/>
                <w:bCs w:val="1"/>
                <w:color w:val="auto"/>
              </w:rPr>
              <w:t>(1)</w:t>
            </w:r>
          </w:p>
        </w:tc>
        <w:tc>
          <w:tcPr>
            <w:tcW w:w="240" w:type="dxa"/>
            <w:vAlign w:val="bottom"/>
            <w:gridSpan w:val="3"/>
          </w:tcPr>
          <w:p>
            <w:pPr>
              <w:ind w:left="160"/>
              <w:spacing w:after="0"/>
              <w:rPr>
                <w:sz w:val="20"/>
                <w:szCs w:val="20"/>
                <w:color w:val="auto"/>
              </w:rPr>
            </w:pPr>
            <w:r>
              <w:rPr>
                <w:rFonts w:ascii="Arial" w:cs="Arial" w:eastAsia="Arial" w:hAnsi="Arial"/>
                <w:sz w:val="10"/>
                <w:szCs w:val="10"/>
                <w:b w:val="1"/>
                <w:bCs w:val="1"/>
                <w:color w:val="auto"/>
                <w:w w:val="71"/>
              </w:rPr>
              <w:t>$</w:t>
            </w:r>
          </w:p>
        </w:tc>
        <w:tc>
          <w:tcPr>
            <w:tcW w:w="80" w:type="dxa"/>
            <w:vAlign w:val="bottom"/>
          </w:tcPr>
          <w:p>
            <w:pPr>
              <w:spacing w:after="0"/>
              <w:rPr>
                <w:sz w:val="13"/>
                <w:szCs w:val="13"/>
                <w:color w:val="auto"/>
              </w:rPr>
            </w:pPr>
          </w:p>
        </w:tc>
        <w:tc>
          <w:tcPr>
            <w:tcW w:w="680" w:type="dxa"/>
            <w:vAlign w:val="bottom"/>
            <w:gridSpan w:val="7"/>
          </w:tcPr>
          <w:p>
            <w:pPr>
              <w:jc w:val="right"/>
              <w:spacing w:after="0" w:line="156" w:lineRule="exact"/>
              <w:rPr>
                <w:sz w:val="20"/>
                <w:szCs w:val="20"/>
                <w:color w:val="auto"/>
              </w:rPr>
            </w:pPr>
            <w:r>
              <w:rPr>
                <w:rFonts w:ascii="Arial" w:cs="Arial" w:eastAsia="Arial" w:hAnsi="Arial"/>
                <w:sz w:val="18"/>
                <w:szCs w:val="18"/>
                <w:b w:val="1"/>
                <w:bCs w:val="1"/>
                <w:color w:val="auto"/>
              </w:rPr>
              <w:t>(1)</w:t>
            </w:r>
          </w:p>
        </w:tc>
        <w:tc>
          <w:tcPr>
            <w:tcW w:w="240" w:type="dxa"/>
            <w:vAlign w:val="bottom"/>
            <w:gridSpan w:val="3"/>
          </w:tcPr>
          <w:p>
            <w:pPr>
              <w:ind w:left="160"/>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6"/>
          </w:tcPr>
          <w:p>
            <w:pPr>
              <w:jc w:val="right"/>
              <w:spacing w:after="0" w:line="156" w:lineRule="exact"/>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3"/>
                <w:szCs w:val="13"/>
                <w:color w:val="auto"/>
              </w:rPr>
            </w:pPr>
          </w:p>
        </w:tc>
        <w:tc>
          <w:tcPr>
            <w:tcW w:w="220" w:type="dxa"/>
            <w:vAlign w:val="bottom"/>
            <w:gridSpan w:val="3"/>
          </w:tcPr>
          <w:p>
            <w:pPr>
              <w:jc w:val="right"/>
              <w:spacing w:after="0" w:line="156"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3"/>
                <w:szCs w:val="13"/>
                <w:color w:val="auto"/>
              </w:rPr>
            </w:pPr>
          </w:p>
        </w:tc>
        <w:tc>
          <w:tcPr>
            <w:tcW w:w="680" w:type="dxa"/>
            <w:vAlign w:val="bottom"/>
            <w:gridSpan w:val="7"/>
          </w:tcPr>
          <w:p>
            <w:pPr>
              <w:jc w:val="right"/>
              <w:spacing w:after="0" w:line="156" w:lineRule="exact"/>
              <w:rPr>
                <w:sz w:val="20"/>
                <w:szCs w:val="20"/>
                <w:color w:val="auto"/>
              </w:rPr>
            </w:pPr>
            <w:r>
              <w:rPr>
                <w:rFonts w:ascii="Arial" w:cs="Arial" w:eastAsia="Arial" w:hAnsi="Arial"/>
                <w:sz w:val="18"/>
                <w:szCs w:val="18"/>
                <w:b w:val="1"/>
                <w:bCs w:val="1"/>
                <w:color w:val="auto"/>
              </w:rPr>
              <w:t>(1)</w:t>
            </w:r>
          </w:p>
        </w:tc>
        <w:tc>
          <w:tcPr>
            <w:tcW w:w="26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auto"/>
              </w:rPr>
              <w:t>$</w:t>
            </w:r>
          </w:p>
        </w:tc>
        <w:tc>
          <w:tcPr>
            <w:tcW w:w="680" w:type="dxa"/>
            <w:vAlign w:val="bottom"/>
            <w:gridSpan w:val="6"/>
          </w:tcPr>
          <w:p>
            <w:pPr>
              <w:jc w:val="right"/>
              <w:spacing w:after="0" w:line="156" w:lineRule="exact"/>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w:t>
            </w:r>
          </w:p>
        </w:tc>
        <w:tc>
          <w:tcPr>
            <w:tcW w:w="240" w:type="dxa"/>
            <w:vAlign w:val="bottom"/>
          </w:tcPr>
          <w:p>
            <w:pPr>
              <w:spacing w:after="0"/>
              <w:rPr>
                <w:sz w:val="13"/>
                <w:szCs w:val="13"/>
                <w:color w:val="auto"/>
              </w:rPr>
            </w:pPr>
          </w:p>
        </w:tc>
        <w:tc>
          <w:tcPr>
            <w:tcW w:w="80" w:type="dxa"/>
            <w:vAlign w:val="bottom"/>
          </w:tcPr>
          <w:p>
            <w:pPr>
              <w:jc w:val="right"/>
              <w:spacing w:after="0" w:line="156" w:lineRule="exact"/>
              <w:rPr>
                <w:sz w:val="20"/>
                <w:szCs w:val="20"/>
                <w:color w:val="auto"/>
              </w:rPr>
            </w:pPr>
            <w:r>
              <w:rPr>
                <w:rFonts w:ascii="Arial" w:cs="Arial" w:eastAsia="Arial" w:hAnsi="Arial"/>
                <w:sz w:val="15"/>
                <w:szCs w:val="15"/>
                <w:b w:val="1"/>
                <w:bCs w:val="1"/>
                <w:color w:val="auto"/>
                <w:w w:val="71"/>
              </w:rPr>
              <w:t>$</w:t>
            </w:r>
          </w:p>
        </w:tc>
        <w:tc>
          <w:tcPr>
            <w:tcW w:w="740" w:type="dxa"/>
            <w:vAlign w:val="bottom"/>
            <w:gridSpan w:val="5"/>
          </w:tcPr>
          <w:p>
            <w:pPr>
              <w:jc w:val="right"/>
              <w:spacing w:after="0" w:line="156" w:lineRule="exact"/>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gridSpan w:val="3"/>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gridSpan w:val="6"/>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2440" w:type="dxa"/>
            <w:vAlign w:val="bottom"/>
            <w:gridSpan w:val="5"/>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90"/>
              </w:rPr>
              <w:t>Change in Net Working Capital</w:t>
            </w:r>
          </w:p>
        </w:tc>
        <w:tc>
          <w:tcPr>
            <w:tcW w:w="320" w:type="dxa"/>
            <w:vAlign w:val="bottom"/>
            <w:tcBorders>
              <w:left w:val="single" w:sz="8" w:color="CCEEFF"/>
            </w:tcBorders>
            <w:shd w:val="clear" w:color="auto" w:fill="CCEEFF"/>
          </w:tcPr>
          <w:p>
            <w:pPr>
              <w:spacing w:after="0"/>
              <w:rPr>
                <w:sz w:val="15"/>
                <w:szCs w:val="15"/>
                <w:color w:val="auto"/>
              </w:rPr>
            </w:pPr>
          </w:p>
        </w:tc>
        <w:tc>
          <w:tcPr>
            <w:tcW w:w="360" w:type="dxa"/>
            <w:vAlign w:val="bottom"/>
            <w:tcBorders>
              <w:right w:val="single" w:sz="8" w:color="CCEEFF"/>
            </w:tcBorders>
            <w:shd w:val="clear" w:color="auto" w:fill="CCEEFF"/>
          </w:tcPr>
          <w:p>
            <w:pPr>
              <w:spacing w:after="0"/>
              <w:rPr>
                <w:sz w:val="15"/>
                <w:szCs w:val="15"/>
                <w:color w:val="auto"/>
              </w:rPr>
            </w:pPr>
          </w:p>
        </w:tc>
        <w:tc>
          <w:tcPr>
            <w:tcW w:w="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spacing w:after="0"/>
              <w:rPr>
                <w:sz w:val="15"/>
                <w:szCs w:val="15"/>
                <w:color w:val="auto"/>
              </w:rPr>
            </w:pPr>
          </w:p>
        </w:tc>
        <w:tc>
          <w:tcPr>
            <w:tcW w:w="300" w:type="dxa"/>
            <w:vAlign w:val="bottom"/>
            <w:tcBorders>
              <w:right w:val="single" w:sz="8" w:color="CCEEFF"/>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4"/>
              </w:rPr>
              <w:t>(22</w:t>
            </w:r>
            <w:r>
              <w:rPr>
                <w:rFonts w:ascii="Arial" w:cs="Arial" w:eastAsia="Arial" w:hAnsi="Arial"/>
                <w:sz w:val="18"/>
                <w:szCs w:val="18"/>
                <w:color w:val="auto"/>
                <w:w w:val="74"/>
              </w:rPr>
              <w:t>)</w:t>
            </w:r>
          </w:p>
        </w:tc>
        <w:tc>
          <w:tcPr>
            <w:tcW w:w="160" w:type="dxa"/>
            <w:vAlign w:val="bottom"/>
            <w:tcBorders>
              <w:left w:val="single" w:sz="8" w:color="CCEEFF"/>
            </w:tcBorders>
            <w:shd w:val="clear" w:color="auto" w:fill="CCEEFF"/>
          </w:tcPr>
          <w:p>
            <w:pPr>
              <w:spacing w:after="0"/>
              <w:rPr>
                <w:sz w:val="15"/>
                <w:szCs w:val="15"/>
                <w:color w:val="auto"/>
              </w:rPr>
            </w:pPr>
          </w:p>
        </w:tc>
        <w:tc>
          <w:tcPr>
            <w:tcW w:w="12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99"/>
              </w:rPr>
              <w:t>$</w:t>
            </w:r>
          </w:p>
        </w:tc>
        <w:tc>
          <w:tcPr>
            <w:tcW w:w="760" w:type="dxa"/>
            <w:vAlign w:val="bottom"/>
            <w:tcBorders>
              <w:right w:val="single" w:sz="8" w:color="CCEEFF"/>
            </w:tcBorders>
            <w:gridSpan w:val="4"/>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rPr>
              <w:t>(22</w:t>
            </w:r>
            <w:r>
              <w:rPr>
                <w:rFonts w:ascii="Arial" w:cs="Arial" w:eastAsia="Arial" w:hAnsi="Arial"/>
                <w:sz w:val="18"/>
                <w:szCs w:val="18"/>
                <w:color w:val="auto"/>
              </w:rPr>
              <w:t>)</w:t>
            </w:r>
          </w:p>
        </w:tc>
        <w:tc>
          <w:tcPr>
            <w:tcW w:w="16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w w:val="71"/>
              </w:rPr>
              <w:t>$</w:t>
            </w:r>
          </w:p>
        </w:tc>
        <w:tc>
          <w:tcPr>
            <w:tcW w:w="780" w:type="dxa"/>
            <w:vAlign w:val="bottom"/>
            <w:tcBorders>
              <w:left w:val="single" w:sz="8" w:color="CCEEFF"/>
              <w:right w:val="single" w:sz="8" w:color="CCEEFF"/>
            </w:tcBorders>
            <w:gridSpan w:val="7"/>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rPr>
              <w:t>(22)</w:t>
            </w:r>
          </w:p>
        </w:tc>
        <w:tc>
          <w:tcPr>
            <w:tcW w:w="240" w:type="dxa"/>
            <w:vAlign w:val="bottom"/>
            <w:tcBorders>
              <w:right w:val="single" w:sz="8" w:color="CCEEFF"/>
            </w:tcBorders>
            <w:gridSpan w:val="3"/>
            <w:shd w:val="clear" w:color="auto" w:fill="CCEEFF"/>
          </w:tcPr>
          <w:p>
            <w:pPr>
              <w:ind w:left="160"/>
              <w:spacing w:after="0"/>
              <w:rPr>
                <w:sz w:val="20"/>
                <w:szCs w:val="20"/>
                <w:color w:val="auto"/>
              </w:rPr>
            </w:pPr>
            <w:r>
              <w:rPr>
                <w:rFonts w:ascii="Arial" w:cs="Arial" w:eastAsia="Arial" w:hAnsi="Arial"/>
                <w:sz w:val="10"/>
                <w:szCs w:val="10"/>
                <w:b w:val="1"/>
                <w:bCs w:val="1"/>
                <w:color w:val="auto"/>
                <w:w w:val="71"/>
              </w:rPr>
              <w:t>$</w:t>
            </w:r>
          </w:p>
        </w:tc>
        <w:tc>
          <w:tcPr>
            <w:tcW w:w="80" w:type="dxa"/>
            <w:vAlign w:val="bottom"/>
            <w:tcBorders>
              <w:left w:val="single" w:sz="8" w:color="CCEEFF"/>
            </w:tcBorders>
            <w:shd w:val="clear" w:color="auto" w:fill="CCEEFF"/>
          </w:tcPr>
          <w:p>
            <w:pPr>
              <w:spacing w:after="0"/>
              <w:rPr>
                <w:sz w:val="15"/>
                <w:szCs w:val="15"/>
                <w:color w:val="auto"/>
              </w:rPr>
            </w:pPr>
          </w:p>
        </w:tc>
        <w:tc>
          <w:tcPr>
            <w:tcW w:w="680" w:type="dxa"/>
            <w:vAlign w:val="bottom"/>
            <w:tcBorders>
              <w:right w:val="single" w:sz="8" w:color="CCEEFF"/>
            </w:tcBorders>
            <w:gridSpan w:val="7"/>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rPr>
              <w:t>(108)</w:t>
            </w:r>
          </w:p>
        </w:tc>
        <w:tc>
          <w:tcPr>
            <w:tcW w:w="240" w:type="dxa"/>
            <w:vAlign w:val="bottom"/>
            <w:gridSpan w:val="3"/>
            <w:shd w:val="clear" w:color="auto" w:fill="CCEEFF"/>
          </w:tcPr>
          <w:p>
            <w:pPr>
              <w:ind w:left="160"/>
              <w:spacing w:after="0"/>
              <w:rPr>
                <w:sz w:val="20"/>
                <w:szCs w:val="20"/>
                <w:color w:val="auto"/>
              </w:rPr>
            </w:pPr>
            <w:r>
              <w:rPr>
                <w:rFonts w:ascii="Arial" w:cs="Arial" w:eastAsia="Arial" w:hAnsi="Arial"/>
                <w:sz w:val="10"/>
                <w:szCs w:val="10"/>
                <w:b w:val="1"/>
                <w:bCs w:val="1"/>
                <w:color w:val="auto"/>
                <w:w w:val="71"/>
              </w:rPr>
              <w:t>$</w:t>
            </w:r>
          </w:p>
        </w:tc>
        <w:tc>
          <w:tcPr>
            <w:tcW w:w="700" w:type="dxa"/>
            <w:vAlign w:val="bottom"/>
            <w:tcBorders>
              <w:left w:val="single" w:sz="8" w:color="CCEEFF"/>
            </w:tcBorders>
            <w:gridSpan w:val="6"/>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rPr>
              <w:t>(112)</w:t>
            </w:r>
          </w:p>
        </w:tc>
        <w:tc>
          <w:tcPr>
            <w:tcW w:w="80" w:type="dxa"/>
            <w:vAlign w:val="bottom"/>
            <w:tcBorders>
              <w:left w:val="single" w:sz="8" w:color="CCEEFF"/>
            </w:tcBorders>
            <w:shd w:val="clear" w:color="auto" w:fill="CCEEFF"/>
          </w:tcPr>
          <w:p>
            <w:pPr>
              <w:spacing w:after="0"/>
              <w:rPr>
                <w:sz w:val="15"/>
                <w:szCs w:val="15"/>
                <w:color w:val="auto"/>
              </w:rPr>
            </w:pPr>
          </w:p>
        </w:tc>
        <w:tc>
          <w:tcPr>
            <w:tcW w:w="220" w:type="dxa"/>
            <w:vAlign w:val="bottom"/>
            <w:gridSpan w:val="3"/>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rPr>
              <w:t>$</w:t>
            </w:r>
          </w:p>
        </w:tc>
        <w:tc>
          <w:tcPr>
            <w:tcW w:w="100" w:type="dxa"/>
            <w:vAlign w:val="bottom"/>
            <w:tcBorders>
              <w:left w:val="single" w:sz="8" w:color="CCEEFF"/>
            </w:tcBorders>
            <w:shd w:val="clear" w:color="auto" w:fill="CCEEFF"/>
          </w:tcPr>
          <w:p>
            <w:pPr>
              <w:spacing w:after="0"/>
              <w:rPr>
                <w:sz w:val="15"/>
                <w:szCs w:val="15"/>
                <w:color w:val="auto"/>
              </w:rPr>
            </w:pPr>
          </w:p>
        </w:tc>
        <w:tc>
          <w:tcPr>
            <w:tcW w:w="680" w:type="dxa"/>
            <w:vAlign w:val="bottom"/>
            <w:gridSpan w:val="7"/>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rPr>
              <w:t>(68)</w:t>
            </w:r>
          </w:p>
        </w:tc>
        <w:tc>
          <w:tcPr>
            <w:tcW w:w="260" w:type="dxa"/>
            <w:vAlign w:val="bottom"/>
            <w:tcBorders>
              <w:right w:val="single" w:sz="8" w:color="CCEEFF"/>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rPr>
              <w:t>$</w:t>
            </w:r>
          </w:p>
        </w:tc>
        <w:tc>
          <w:tcPr>
            <w:tcW w:w="680" w:type="dxa"/>
            <w:vAlign w:val="bottom"/>
            <w:gridSpan w:val="6"/>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rPr>
              <w:t>(30</w:t>
            </w:r>
            <w:r>
              <w:rPr>
                <w:rFonts w:ascii="Arial" w:cs="Arial" w:eastAsia="Arial" w:hAnsi="Arial"/>
                <w:sz w:val="18"/>
                <w:szCs w:val="18"/>
                <w:color w:val="auto"/>
              </w:rPr>
              <w:t>)</w:t>
            </w:r>
          </w:p>
        </w:tc>
        <w:tc>
          <w:tcPr>
            <w:tcW w:w="24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w w:val="71"/>
              </w:rPr>
              <w:t>$</w:t>
            </w:r>
          </w:p>
        </w:tc>
        <w:tc>
          <w:tcPr>
            <w:tcW w:w="740" w:type="dxa"/>
            <w:vAlign w:val="bottom"/>
            <w:gridSpan w:val="5"/>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rPr>
              <w:t>(11</w:t>
            </w: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auto"/>
              <w:right w:val="single" w:sz="8" w:color="auto"/>
            </w:tcBorders>
            <w:gridSpan w:val="4"/>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CCEEFF"/>
              <w:left w:val="single" w:sz="8" w:color="CCEEFF"/>
              <w:right w:val="single" w:sz="8" w:color="auto"/>
            </w:tcBorders>
            <w:gridSpan w:val="2"/>
            <w:shd w:val="clear" w:color="auto" w:fill="CCEEFF"/>
          </w:tcPr>
          <w:p>
            <w:pPr>
              <w:spacing w:after="0" w:line="20" w:lineRule="exact"/>
              <w:rPr>
                <w:sz w:val="1"/>
                <w:szCs w:val="1"/>
                <w:color w:val="auto"/>
              </w:rPr>
            </w:pPr>
          </w:p>
        </w:tc>
        <w:tc>
          <w:tcPr>
            <w:tcW w:w="60" w:type="dxa"/>
            <w:vAlign w:val="bottom"/>
            <w:tcBorders>
              <w:top w:val="single" w:sz="8" w:color="auto"/>
              <w:left w:val="single" w:sz="8" w:color="auto"/>
            </w:tcBorders>
            <w:shd w:val="clear" w:color="auto" w:fill="CCEEFF"/>
          </w:tcPr>
          <w:p>
            <w:pPr>
              <w:spacing w:after="0" w:line="20" w:lineRule="exact"/>
              <w:rPr>
                <w:sz w:val="1"/>
                <w:szCs w:val="1"/>
                <w:color w:val="auto"/>
              </w:rPr>
            </w:pPr>
          </w:p>
        </w:tc>
        <w:tc>
          <w:tcPr>
            <w:tcW w:w="480" w:type="dxa"/>
            <w:vAlign w:val="bottom"/>
            <w:tcBorders>
              <w:top w:val="single" w:sz="8" w:color="CCEEFF"/>
              <w:right w:val="single" w:sz="8" w:color="auto"/>
            </w:tcBorders>
            <w:gridSpan w:val="3"/>
            <w:shd w:val="clear" w:color="auto" w:fill="CCEEFF"/>
          </w:tcPr>
          <w:p>
            <w:pPr>
              <w:spacing w:after="0" w:line="20" w:lineRule="exact"/>
              <w:rPr>
                <w:sz w:val="1"/>
                <w:szCs w:val="1"/>
                <w:color w:val="auto"/>
              </w:rPr>
            </w:pPr>
          </w:p>
        </w:tc>
        <w:tc>
          <w:tcPr>
            <w:tcW w:w="1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right w:val="single" w:sz="8" w:color="auto"/>
            </w:tcBorders>
            <w:gridSpan w:val="2"/>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CCEEFF"/>
              <w:right w:val="single" w:sz="8" w:color="auto"/>
            </w:tcBorders>
            <w:gridSpan w:val="2"/>
            <w:shd w:val="clear" w:color="auto" w:fill="CCEEFF"/>
          </w:tcPr>
          <w:p>
            <w:pPr>
              <w:spacing w:after="0" w:line="20" w:lineRule="exact"/>
              <w:rPr>
                <w:sz w:val="1"/>
                <w:szCs w:val="1"/>
                <w:color w:val="auto"/>
              </w:rPr>
            </w:pPr>
          </w:p>
        </w:tc>
        <w:tc>
          <w:tcPr>
            <w:tcW w:w="180" w:type="dxa"/>
            <w:vAlign w:val="bottom"/>
            <w:tcBorders>
              <w:top w:val="single" w:sz="8" w:color="auto"/>
              <w:left w:val="single" w:sz="8" w:color="auto"/>
              <w:right w:val="single" w:sz="8" w:color="auto"/>
            </w:tcBorders>
            <w:gridSpan w:val="2"/>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left w:val="single" w:sz="8" w:color="auto"/>
            </w:tcBorders>
            <w:gridSpan w:val="3"/>
            <w:shd w:val="clear" w:color="auto" w:fill="CCEEFF"/>
          </w:tcPr>
          <w:p>
            <w:pPr>
              <w:spacing w:after="0" w:line="20" w:lineRule="exact"/>
              <w:rPr>
                <w:sz w:val="1"/>
                <w:szCs w:val="1"/>
                <w:color w:val="auto"/>
              </w:rPr>
            </w:pPr>
          </w:p>
        </w:tc>
        <w:tc>
          <w:tcPr>
            <w:tcW w:w="260" w:type="dxa"/>
            <w:vAlign w:val="bottom"/>
            <w:tcBorders>
              <w:top w:val="single" w:sz="8" w:color="auto"/>
              <w:left w:val="single" w:sz="8" w:color="CCEEFF"/>
              <w:bottom w:val="single" w:sz="8" w:color="auto"/>
              <w:right w:val="single" w:sz="8" w:color="auto"/>
            </w:tcBorders>
            <w:gridSpan w:val="3"/>
            <w:shd w:val="clear" w:color="auto" w:fill="000000"/>
          </w:tcPr>
          <w:p>
            <w:pPr>
              <w:spacing w:after="0" w:line="20" w:lineRule="exact"/>
              <w:rPr>
                <w:sz w:val="1"/>
                <w:szCs w:val="1"/>
                <w:color w:val="auto"/>
              </w:rPr>
            </w:pPr>
          </w:p>
        </w:tc>
        <w:tc>
          <w:tcPr>
            <w:tcW w:w="100" w:type="dxa"/>
            <w:vAlign w:val="bottom"/>
            <w:tcBorders>
              <w:top w:val="single" w:sz="8" w:color="auto"/>
              <w:left w:val="single" w:sz="8" w:color="auto"/>
              <w:bottom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gridSpan w:val="2"/>
            <w:shd w:val="clear" w:color="auto" w:fill="CCEEFF"/>
          </w:tcPr>
          <w:p>
            <w:pPr>
              <w:spacing w:after="0" w:line="20" w:lineRule="exact"/>
              <w:rPr>
                <w:sz w:val="1"/>
                <w:szCs w:val="1"/>
                <w:color w:val="auto"/>
              </w:rPr>
            </w:pPr>
          </w:p>
        </w:tc>
        <w:tc>
          <w:tcPr>
            <w:tcW w:w="80" w:type="dxa"/>
            <w:vAlign w:val="bottom"/>
            <w:tcBorders>
              <w:top w:val="single" w:sz="8" w:color="auto"/>
              <w:left w:val="single" w:sz="8" w:color="CCEEFF"/>
              <w:right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left w:val="single" w:sz="8" w:color="auto"/>
              <w:right w:val="single" w:sz="8" w:color="CCEEFF"/>
            </w:tcBorders>
            <w:gridSpan w:val="2"/>
            <w:shd w:val="clear" w:color="auto" w:fill="CCEEFF"/>
          </w:tcPr>
          <w:p>
            <w:pPr>
              <w:spacing w:after="0" w:line="20" w:lineRule="exact"/>
              <w:rPr>
                <w:sz w:val="1"/>
                <w:szCs w:val="1"/>
                <w:color w:val="auto"/>
              </w:rPr>
            </w:pPr>
          </w:p>
        </w:tc>
        <w:tc>
          <w:tcPr>
            <w:tcW w:w="300" w:type="dxa"/>
            <w:vAlign w:val="bottom"/>
            <w:tcBorders>
              <w:top w:val="single" w:sz="8" w:color="auto"/>
              <w:right w:val="single" w:sz="8" w:color="auto"/>
            </w:tcBorders>
            <w:gridSpan w:val="5"/>
            <w:shd w:val="clear" w:color="auto" w:fill="000000"/>
          </w:tcPr>
          <w:p>
            <w:pPr>
              <w:spacing w:after="0" w:line="20" w:lineRule="exact"/>
              <w:rPr>
                <w:sz w:val="1"/>
                <w:szCs w:val="1"/>
                <w:color w:val="auto"/>
              </w:rPr>
            </w:pPr>
          </w:p>
        </w:tc>
        <w:tc>
          <w:tcPr>
            <w:tcW w:w="80" w:type="dxa"/>
            <w:vAlign w:val="bottom"/>
            <w:tcBorders>
              <w:top w:val="single" w:sz="8" w:color="auto"/>
              <w:left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gridSpan w:val="2"/>
            <w:shd w:val="clear" w:color="auto" w:fill="CCEEFF"/>
          </w:tcPr>
          <w:p>
            <w:pPr>
              <w:spacing w:after="0" w:line="20" w:lineRule="exact"/>
              <w:rPr>
                <w:sz w:val="1"/>
                <w:szCs w:val="1"/>
                <w:color w:val="auto"/>
              </w:rPr>
            </w:pPr>
          </w:p>
        </w:tc>
        <w:tc>
          <w:tcPr>
            <w:tcW w:w="80" w:type="dxa"/>
            <w:vAlign w:val="bottom"/>
            <w:tcBorders>
              <w:top w:val="single" w:sz="8" w:color="auto"/>
              <w:left w:val="single" w:sz="8" w:color="CCEEFF"/>
            </w:tcBorders>
            <w:shd w:val="clear" w:color="auto" w:fill="000000"/>
          </w:tcPr>
          <w:p>
            <w:pPr>
              <w:spacing w:after="0" w:line="20" w:lineRule="exact"/>
              <w:rPr>
                <w:sz w:val="1"/>
                <w:szCs w:val="1"/>
                <w:color w:val="auto"/>
              </w:rPr>
            </w:pPr>
          </w:p>
        </w:tc>
        <w:tc>
          <w:tcPr>
            <w:tcW w:w="38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bottom w:val="single" w:sz="8" w:color="auto"/>
              <w:right w:val="single" w:sz="8" w:color="auto"/>
            </w:tcBorders>
            <w:gridSpan w:val="4"/>
            <w:shd w:val="clear" w:color="auto" w:fill="000000"/>
          </w:tcPr>
          <w:p>
            <w:pPr>
              <w:spacing w:after="0" w:line="20" w:lineRule="exact"/>
              <w:rPr>
                <w:sz w:val="1"/>
                <w:szCs w:val="1"/>
                <w:color w:val="auto"/>
              </w:rPr>
            </w:pPr>
          </w:p>
        </w:tc>
        <w:tc>
          <w:tcPr>
            <w:tcW w:w="8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left w:val="single" w:sz="8" w:color="auto"/>
              <w:bottom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gridSpan w:val="2"/>
            <w:shd w:val="clear" w:color="auto" w:fill="CCEEFF"/>
          </w:tcPr>
          <w:p>
            <w:pPr>
              <w:spacing w:after="0" w:line="20" w:lineRule="exact"/>
              <w:rPr>
                <w:sz w:val="1"/>
                <w:szCs w:val="1"/>
                <w:color w:val="auto"/>
              </w:rPr>
            </w:pPr>
          </w:p>
        </w:tc>
        <w:tc>
          <w:tcPr>
            <w:tcW w:w="60" w:type="dxa"/>
            <w:vAlign w:val="bottom"/>
            <w:tcBorders>
              <w:top w:val="single" w:sz="8" w:color="auto"/>
              <w:left w:val="single" w:sz="8" w:color="CCEEFF"/>
            </w:tcBorders>
            <w:shd w:val="clear" w:color="auto" w:fill="000000"/>
          </w:tcPr>
          <w:p>
            <w:pPr>
              <w:spacing w:after="0" w:line="20" w:lineRule="exact"/>
              <w:rPr>
                <w:sz w:val="1"/>
                <w:szCs w:val="1"/>
                <w:color w:val="auto"/>
              </w:rPr>
            </w:pPr>
          </w:p>
        </w:tc>
        <w:tc>
          <w:tcPr>
            <w:tcW w:w="480" w:type="dxa"/>
            <w:vAlign w:val="bottom"/>
            <w:tcBorders>
              <w:top w:val="single" w:sz="8" w:color="CCEEFF"/>
              <w:left w:val="single" w:sz="8" w:color="auto"/>
            </w:tcBorders>
            <w:gridSpan w:val="4"/>
            <w:shd w:val="clear" w:color="auto" w:fill="CCEEFF"/>
          </w:tcPr>
          <w:p>
            <w:pPr>
              <w:spacing w:after="0" w:line="20" w:lineRule="exact"/>
              <w:rPr>
                <w:sz w:val="1"/>
                <w:szCs w:val="1"/>
                <w:color w:val="auto"/>
              </w:rPr>
            </w:pPr>
          </w:p>
        </w:tc>
        <w:tc>
          <w:tcPr>
            <w:tcW w:w="140" w:type="dxa"/>
            <w:vAlign w:val="bottom"/>
            <w:tcBorders>
              <w:top w:val="single" w:sz="8" w:color="auto"/>
              <w:right w:val="single" w:sz="8" w:color="auto"/>
            </w:tcBorders>
            <w:gridSpan w:val="2"/>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40" w:type="dxa"/>
            <w:vAlign w:val="bottom"/>
            <w:tcBorders>
              <w:top w:val="single" w:sz="8" w:color="CCEEFF"/>
            </w:tcBorders>
            <w:gridSpan w:val="3"/>
            <w:shd w:val="clear" w:color="auto" w:fill="CCEEFF"/>
          </w:tcPr>
          <w:p>
            <w:pPr>
              <w:spacing w:after="0" w:line="20" w:lineRule="exact"/>
              <w:rPr>
                <w:sz w:val="1"/>
                <w:szCs w:val="1"/>
                <w:color w:val="auto"/>
              </w:rPr>
            </w:pPr>
          </w:p>
        </w:tc>
        <w:tc>
          <w:tcPr>
            <w:tcW w:w="140" w:type="dxa"/>
            <w:vAlign w:val="bottom"/>
            <w:tcBorders>
              <w:top w:val="single" w:sz="8" w:color="auto"/>
              <w:right w:val="single" w:sz="8" w:color="auto"/>
            </w:tcBorders>
            <w:gridSpan w:val="2"/>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CCEEFF"/>
              <w:right w:val="single" w:sz="8" w:color="auto"/>
            </w:tcBorders>
            <w:gridSpan w:val="2"/>
            <w:shd w:val="clear" w:color="auto" w:fill="CCEEFF"/>
          </w:tcPr>
          <w:p>
            <w:pPr>
              <w:spacing w:after="0" w:line="20" w:lineRule="exact"/>
              <w:rPr>
                <w:sz w:val="1"/>
                <w:szCs w:val="1"/>
                <w:color w:val="auto"/>
              </w:rPr>
            </w:pPr>
          </w:p>
        </w:tc>
        <w:tc>
          <w:tcPr>
            <w:tcW w:w="240" w:type="dxa"/>
            <w:vAlign w:val="bottom"/>
            <w:tcBorders>
              <w:top w:val="single" w:sz="8" w:color="auto"/>
              <w:right w:val="single" w:sz="8" w:color="auto"/>
            </w:tcBorders>
            <w:gridSpan w:val="2"/>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920" w:type="dxa"/>
            <w:vAlign w:val="bottom"/>
            <w:gridSpan w:val="7"/>
          </w:tcPr>
          <w:p>
            <w:pPr>
              <w:spacing w:after="0" w:line="123" w:lineRule="exact"/>
              <w:rPr>
                <w:sz w:val="20"/>
                <w:szCs w:val="20"/>
                <w:color w:val="auto"/>
              </w:rPr>
            </w:pPr>
            <w:r>
              <w:rPr>
                <w:rFonts w:ascii="Arial" w:cs="Arial" w:eastAsia="Arial" w:hAnsi="Arial"/>
                <w:sz w:val="13"/>
                <w:szCs w:val="13"/>
                <w:b w:val="1"/>
                <w:bCs w:val="1"/>
                <w:color w:val="auto"/>
              </w:rPr>
              <w:t>Unlevered Free Cash Flow</w:t>
            </w: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6"/>
          </w:tcPr>
          <w:p>
            <w:pPr>
              <w:jc w:val="right"/>
              <w:ind w:right="940"/>
              <w:spacing w:after="0"/>
              <w:rPr>
                <w:sz w:val="20"/>
                <w:szCs w:val="20"/>
                <w:color w:val="auto"/>
              </w:rPr>
            </w:pPr>
            <w:r>
              <w:rPr>
                <w:rFonts w:ascii="Arial" w:cs="Arial" w:eastAsia="Arial" w:hAnsi="Arial"/>
                <w:sz w:val="13"/>
                <w:szCs w:val="13"/>
                <w:color w:val="auto"/>
              </w:rPr>
              <w:t>)</w:t>
            </w:r>
          </w:p>
        </w:tc>
        <w:tc>
          <w:tcPr>
            <w:tcW w:w="120" w:type="dxa"/>
            <w:vAlign w:val="bottom"/>
            <w:gridSpan w:val="2"/>
            <w:vMerge w:val="restart"/>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gridSpan w:val="5"/>
          </w:tcPr>
          <w:p>
            <w:pPr>
              <w:spacing w:after="0"/>
              <w:rPr>
                <w:sz w:val="10"/>
                <w:szCs w:val="10"/>
                <w:color w:val="auto"/>
              </w:rPr>
            </w:pPr>
          </w:p>
        </w:tc>
        <w:tc>
          <w:tcPr>
            <w:tcW w:w="6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7"/>
          </w:tcPr>
          <w:p>
            <w:pPr>
              <w:spacing w:after="0"/>
              <w:rPr>
                <w:sz w:val="10"/>
                <w:szCs w:val="10"/>
                <w:color w:val="auto"/>
              </w:rPr>
            </w:pPr>
          </w:p>
        </w:tc>
        <w:tc>
          <w:tcPr>
            <w:tcW w:w="240" w:type="dxa"/>
            <w:vAlign w:val="bottom"/>
            <w:gridSpan w:val="3"/>
            <w:vMerge w:val="restart"/>
          </w:tcPr>
          <w:p>
            <w:pPr>
              <w:ind w:left="160"/>
              <w:spacing w:after="0"/>
              <w:rPr>
                <w:sz w:val="20"/>
                <w:szCs w:val="20"/>
                <w:color w:val="auto"/>
              </w:rPr>
            </w:pPr>
            <w:r>
              <w:rPr>
                <w:rFonts w:ascii="Arial" w:cs="Arial" w:eastAsia="Arial" w:hAnsi="Arial"/>
                <w:sz w:val="10"/>
                <w:szCs w:val="10"/>
                <w:color w:val="auto"/>
                <w:w w:val="71"/>
              </w:rPr>
              <w:t>$</w:t>
            </w:r>
          </w:p>
        </w:tc>
        <w:tc>
          <w:tcPr>
            <w:tcW w:w="760" w:type="dxa"/>
            <w:vAlign w:val="bottom"/>
            <w:gridSpan w:val="8"/>
          </w:tcPr>
          <w:p>
            <w:pPr>
              <w:spacing w:after="0"/>
              <w:rPr>
                <w:sz w:val="10"/>
                <w:szCs w:val="10"/>
                <w:color w:val="auto"/>
              </w:rPr>
            </w:pPr>
          </w:p>
        </w:tc>
        <w:tc>
          <w:tcPr>
            <w:tcW w:w="240" w:type="dxa"/>
            <w:vAlign w:val="bottom"/>
            <w:gridSpan w:val="3"/>
            <w:vMerge w:val="restart"/>
          </w:tcPr>
          <w:p>
            <w:pPr>
              <w:ind w:left="160"/>
              <w:spacing w:after="0"/>
              <w:rPr>
                <w:sz w:val="20"/>
                <w:szCs w:val="20"/>
                <w:color w:val="auto"/>
              </w:rPr>
            </w:pPr>
            <w:r>
              <w:rPr>
                <w:rFonts w:ascii="Arial" w:cs="Arial" w:eastAsia="Arial" w:hAnsi="Arial"/>
                <w:sz w:val="10"/>
                <w:szCs w:val="10"/>
                <w:color w:val="auto"/>
                <w:w w:val="71"/>
              </w:rPr>
              <w:t>$</w:t>
            </w:r>
          </w:p>
        </w:tc>
        <w:tc>
          <w:tcPr>
            <w:tcW w:w="780" w:type="dxa"/>
            <w:vAlign w:val="bottom"/>
            <w:gridSpan w:val="7"/>
          </w:tcPr>
          <w:p>
            <w:pPr>
              <w:spacing w:after="0"/>
              <w:rPr>
                <w:sz w:val="10"/>
                <w:szCs w:val="10"/>
                <w:color w:val="auto"/>
              </w:rPr>
            </w:pPr>
          </w:p>
        </w:tc>
        <w:tc>
          <w:tcPr>
            <w:tcW w:w="22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8"/>
          </w:tcPr>
          <w:p>
            <w:pPr>
              <w:spacing w:after="0"/>
              <w:rPr>
                <w:sz w:val="10"/>
                <w:szCs w:val="10"/>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7"/>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390"/>
        </w:trPr>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4"/>
          </w:tcPr>
          <w:p>
            <w:pPr>
              <w:jc w:val="right"/>
              <w:ind w:right="80"/>
              <w:spacing w:after="0"/>
              <w:rPr>
                <w:sz w:val="20"/>
                <w:szCs w:val="20"/>
                <w:color w:val="auto"/>
              </w:rPr>
            </w:pPr>
            <w:r>
              <w:rPr>
                <w:rFonts w:ascii="Arial" w:cs="Arial" w:eastAsia="Arial" w:hAnsi="Arial"/>
                <w:sz w:val="18"/>
                <w:szCs w:val="18"/>
                <w:color w:val="auto"/>
              </w:rPr>
              <w:t>(377</w:t>
            </w:r>
            <w:r>
              <w:rPr>
                <w:rFonts w:ascii="Arial" w:cs="Arial" w:eastAsia="Arial" w:hAnsi="Arial"/>
                <w:sz w:val="29"/>
                <w:szCs w:val="29"/>
                <w:color w:val="auto"/>
                <w:vertAlign w:val="subscript"/>
              </w:rPr>
              <w:t>(1)</w:t>
            </w:r>
          </w:p>
        </w:tc>
        <w:tc>
          <w:tcPr>
            <w:tcW w:w="120" w:type="dxa"/>
            <w:vAlign w:val="bottom"/>
            <w:gridSpan w:val="2"/>
            <w:vMerge w:val="continue"/>
          </w:tcPr>
          <w:p>
            <w:pPr>
              <w:spacing w:after="0"/>
              <w:rPr>
                <w:sz w:val="24"/>
                <w:szCs w:val="24"/>
                <w:color w:val="auto"/>
              </w:rPr>
            </w:pPr>
          </w:p>
        </w:tc>
        <w:tc>
          <w:tcPr>
            <w:tcW w:w="760" w:type="dxa"/>
            <w:vAlign w:val="bottom"/>
            <w:gridSpan w:val="4"/>
          </w:tcPr>
          <w:p>
            <w:pPr>
              <w:jc w:val="right"/>
              <w:spacing w:after="0"/>
              <w:rPr>
                <w:sz w:val="20"/>
                <w:szCs w:val="20"/>
                <w:color w:val="auto"/>
              </w:rPr>
            </w:pPr>
            <w:r>
              <w:rPr>
                <w:rFonts w:ascii="Arial" w:cs="Arial" w:eastAsia="Arial" w:hAnsi="Arial"/>
                <w:sz w:val="18"/>
                <w:szCs w:val="18"/>
                <w:color w:val="auto"/>
              </w:rPr>
              <w:t>(127)</w:t>
            </w:r>
          </w:p>
        </w:tc>
        <w:tc>
          <w:tcPr>
            <w:tcW w:w="160" w:type="dxa"/>
            <w:vAlign w:val="bottom"/>
          </w:tcPr>
          <w:p>
            <w:pPr>
              <w:spacing w:after="0"/>
              <w:rPr>
                <w:sz w:val="24"/>
                <w:szCs w:val="24"/>
                <w:color w:val="auto"/>
              </w:rPr>
            </w:pPr>
          </w:p>
        </w:tc>
        <w:tc>
          <w:tcPr>
            <w:tcW w:w="60" w:type="dxa"/>
            <w:vAlign w:val="bottom"/>
            <w:vMerge w:val="continue"/>
          </w:tcPr>
          <w:p>
            <w:pPr>
              <w:spacing w:after="0"/>
              <w:rPr>
                <w:sz w:val="24"/>
                <w:szCs w:val="24"/>
                <w:color w:val="auto"/>
              </w:rPr>
            </w:pPr>
          </w:p>
        </w:tc>
        <w:tc>
          <w:tcPr>
            <w:tcW w:w="780" w:type="dxa"/>
            <w:vAlign w:val="bottom"/>
            <w:gridSpan w:val="7"/>
          </w:tcPr>
          <w:p>
            <w:pPr>
              <w:jc w:val="right"/>
              <w:spacing w:after="0"/>
              <w:rPr>
                <w:sz w:val="20"/>
                <w:szCs w:val="20"/>
                <w:color w:val="auto"/>
              </w:rPr>
            </w:pPr>
            <w:r>
              <w:rPr>
                <w:rFonts w:ascii="Arial" w:cs="Arial" w:eastAsia="Arial" w:hAnsi="Arial"/>
                <w:sz w:val="18"/>
                <w:szCs w:val="18"/>
                <w:color w:val="auto"/>
              </w:rPr>
              <w:t>(25)</w:t>
            </w:r>
          </w:p>
        </w:tc>
        <w:tc>
          <w:tcPr>
            <w:tcW w:w="24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6"/>
          </w:tcPr>
          <w:p>
            <w:pPr>
              <w:jc w:val="right"/>
              <w:spacing w:after="0"/>
              <w:rPr>
                <w:sz w:val="20"/>
                <w:szCs w:val="20"/>
                <w:color w:val="auto"/>
              </w:rPr>
            </w:pPr>
            <w:r>
              <w:rPr>
                <w:rFonts w:ascii="Arial" w:cs="Arial" w:eastAsia="Arial" w:hAnsi="Arial"/>
                <w:sz w:val="18"/>
                <w:szCs w:val="18"/>
                <w:color w:val="auto"/>
              </w:rPr>
              <w:t>454</w:t>
            </w:r>
          </w:p>
        </w:tc>
        <w:tc>
          <w:tcPr>
            <w:tcW w:w="80" w:type="dxa"/>
            <w:vAlign w:val="bottom"/>
          </w:tcPr>
          <w:p>
            <w:pPr>
              <w:spacing w:after="0"/>
              <w:rPr>
                <w:sz w:val="24"/>
                <w:szCs w:val="24"/>
                <w:color w:val="auto"/>
              </w:rPr>
            </w:pPr>
          </w:p>
        </w:tc>
        <w:tc>
          <w:tcPr>
            <w:tcW w:w="240" w:type="dxa"/>
            <w:vAlign w:val="bottom"/>
            <w:gridSpan w:val="3"/>
            <w:vMerge w:val="continue"/>
          </w:tcPr>
          <w:p>
            <w:pPr>
              <w:spacing w:after="0"/>
              <w:rPr>
                <w:sz w:val="24"/>
                <w:szCs w:val="24"/>
                <w:color w:val="auto"/>
              </w:rPr>
            </w:pPr>
          </w:p>
        </w:tc>
        <w:tc>
          <w:tcPr>
            <w:tcW w:w="700" w:type="dxa"/>
            <w:vAlign w:val="bottom"/>
            <w:gridSpan w:val="6"/>
          </w:tcPr>
          <w:p>
            <w:pPr>
              <w:jc w:val="right"/>
              <w:spacing w:after="0"/>
              <w:rPr>
                <w:sz w:val="20"/>
                <w:szCs w:val="20"/>
                <w:color w:val="auto"/>
              </w:rPr>
            </w:pPr>
            <w:r>
              <w:rPr>
                <w:rFonts w:ascii="Arial" w:cs="Arial" w:eastAsia="Arial" w:hAnsi="Arial"/>
                <w:sz w:val="18"/>
                <w:szCs w:val="18"/>
                <w:color w:val="auto"/>
              </w:rPr>
              <w:t>988</w:t>
            </w:r>
          </w:p>
        </w:tc>
        <w:tc>
          <w:tcPr>
            <w:tcW w:w="80" w:type="dxa"/>
            <w:vAlign w:val="bottom"/>
          </w:tcPr>
          <w:p>
            <w:pPr>
              <w:spacing w:after="0"/>
              <w:rPr>
                <w:sz w:val="24"/>
                <w:szCs w:val="24"/>
                <w:color w:val="auto"/>
              </w:rPr>
            </w:pPr>
          </w:p>
        </w:tc>
        <w:tc>
          <w:tcPr>
            <w:tcW w:w="22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gridSpan w:val="6"/>
          </w:tcPr>
          <w:p>
            <w:pPr>
              <w:jc w:val="right"/>
              <w:spacing w:after="0"/>
              <w:rPr>
                <w:sz w:val="20"/>
                <w:szCs w:val="20"/>
                <w:color w:val="auto"/>
              </w:rPr>
            </w:pPr>
            <w:r>
              <w:rPr>
                <w:rFonts w:ascii="Arial" w:cs="Arial" w:eastAsia="Arial" w:hAnsi="Arial"/>
                <w:sz w:val="18"/>
                <w:szCs w:val="18"/>
                <w:color w:val="auto"/>
              </w:rPr>
              <w:t>1,307</w:t>
            </w:r>
          </w:p>
        </w:tc>
        <w:tc>
          <w:tcPr>
            <w:tcW w:w="80" w:type="dxa"/>
            <w:vAlign w:val="bottom"/>
          </w:tcPr>
          <w:p>
            <w:pPr>
              <w:spacing w:after="0"/>
              <w:rPr>
                <w:sz w:val="24"/>
                <w:szCs w:val="24"/>
                <w:color w:val="auto"/>
              </w:rPr>
            </w:pPr>
          </w:p>
        </w:tc>
        <w:tc>
          <w:tcPr>
            <w:tcW w:w="260" w:type="dxa"/>
            <w:vAlign w:val="bottom"/>
            <w:gridSpan w:val="2"/>
            <w:vMerge w:val="continue"/>
          </w:tcPr>
          <w:p>
            <w:pPr>
              <w:spacing w:after="0"/>
              <w:rPr>
                <w:sz w:val="24"/>
                <w:szCs w:val="24"/>
                <w:color w:val="auto"/>
              </w:rPr>
            </w:pPr>
          </w:p>
        </w:tc>
        <w:tc>
          <w:tcPr>
            <w:tcW w:w="680" w:type="dxa"/>
            <w:vAlign w:val="bottom"/>
            <w:gridSpan w:val="6"/>
          </w:tcPr>
          <w:p>
            <w:pPr>
              <w:jc w:val="right"/>
              <w:spacing w:after="0"/>
              <w:rPr>
                <w:sz w:val="20"/>
                <w:szCs w:val="20"/>
                <w:color w:val="auto"/>
              </w:rPr>
            </w:pPr>
            <w:r>
              <w:rPr>
                <w:rFonts w:ascii="Arial" w:cs="Arial" w:eastAsia="Arial" w:hAnsi="Arial"/>
                <w:sz w:val="18"/>
                <w:szCs w:val="18"/>
                <w:color w:val="auto"/>
              </w:rPr>
              <w:t>1,537</w:t>
            </w:r>
          </w:p>
        </w:tc>
        <w:tc>
          <w:tcPr>
            <w:tcW w:w="240" w:type="dxa"/>
            <w:vAlign w:val="bottom"/>
          </w:tcPr>
          <w:p>
            <w:pPr>
              <w:spacing w:after="0"/>
              <w:rPr>
                <w:sz w:val="24"/>
                <w:szCs w:val="24"/>
                <w:color w:val="auto"/>
              </w:rPr>
            </w:pPr>
          </w:p>
        </w:tc>
        <w:tc>
          <w:tcPr>
            <w:tcW w:w="80" w:type="dxa"/>
            <w:vAlign w:val="bottom"/>
            <w:vMerge w:val="continue"/>
          </w:tcPr>
          <w:p>
            <w:pPr>
              <w:spacing w:after="0"/>
              <w:rPr>
                <w:sz w:val="24"/>
                <w:szCs w:val="24"/>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1,565</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440" w:type="dxa"/>
            <w:vAlign w:val="bottom"/>
            <w:tcBorders>
              <w:bottom w:val="single" w:sz="8" w:color="auto"/>
            </w:tcBorders>
            <w:gridSpan w:val="26"/>
          </w:tcPr>
          <w:p>
            <w:pPr>
              <w:jc w:val="right"/>
              <w:ind w:right="40"/>
              <w:spacing w:after="0"/>
              <w:rPr>
                <w:sz w:val="20"/>
                <w:szCs w:val="20"/>
                <w:color w:val="auto"/>
              </w:rPr>
            </w:pPr>
            <w:r>
              <w:rPr>
                <w:rFonts w:ascii="Arial" w:cs="Arial" w:eastAsia="Arial" w:hAnsi="Arial"/>
                <w:sz w:val="18"/>
                <w:szCs w:val="18"/>
                <w:b w:val="1"/>
                <w:bCs w:val="1"/>
                <w:color w:val="auto"/>
                <w:w w:val="87"/>
              </w:rPr>
              <w:t>Fiscal year ended December 31,</w:t>
            </w:r>
          </w:p>
        </w:tc>
        <w:tc>
          <w:tcPr>
            <w:tcW w:w="2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280" w:type="dxa"/>
            <w:vAlign w:val="bottom"/>
            <w:gridSpan w:val="8"/>
          </w:tcPr>
          <w:p>
            <w:pPr>
              <w:spacing w:after="0"/>
              <w:rPr>
                <w:sz w:val="18"/>
                <w:szCs w:val="18"/>
                <w:color w:val="auto"/>
              </w:rPr>
            </w:pPr>
          </w:p>
        </w:tc>
        <w:tc>
          <w:tcPr>
            <w:tcW w:w="840" w:type="dxa"/>
            <w:vAlign w:val="bottom"/>
            <w:tcBorders>
              <w:bottom w:val="single" w:sz="8" w:color="auto"/>
            </w:tcBorders>
            <w:gridSpan w:val="6"/>
          </w:tcPr>
          <w:p>
            <w:pPr>
              <w:jc w:val="right"/>
              <w:ind w:right="750"/>
              <w:spacing w:after="0"/>
              <w:rPr>
                <w:sz w:val="20"/>
                <w:szCs w:val="20"/>
                <w:color w:val="auto"/>
              </w:rPr>
            </w:pPr>
            <w:r>
              <w:rPr>
                <w:rFonts w:ascii="Arial" w:cs="Arial" w:eastAsia="Arial" w:hAnsi="Arial"/>
                <w:sz w:val="18"/>
                <w:szCs w:val="18"/>
                <w:b w:val="1"/>
                <w:bCs w:val="1"/>
                <w:color w:val="auto"/>
              </w:rPr>
              <w:t>2031</w:t>
            </w:r>
          </w:p>
        </w:tc>
        <w:tc>
          <w:tcPr>
            <w:tcW w:w="160" w:type="dxa"/>
            <w:vAlign w:val="bottom"/>
          </w:tcPr>
          <w:p>
            <w:pPr>
              <w:spacing w:after="0"/>
              <w:rPr>
                <w:sz w:val="18"/>
                <w:szCs w:val="18"/>
                <w:color w:val="auto"/>
              </w:rPr>
            </w:pPr>
          </w:p>
        </w:tc>
        <w:tc>
          <w:tcPr>
            <w:tcW w:w="780" w:type="dxa"/>
            <w:vAlign w:val="bottom"/>
            <w:tcBorders>
              <w:bottom w:val="single" w:sz="8" w:color="auto"/>
            </w:tcBorders>
            <w:gridSpan w:val="5"/>
          </w:tcPr>
          <w:p>
            <w:pPr>
              <w:jc w:val="right"/>
              <w:ind w:right="746"/>
              <w:spacing w:after="0"/>
              <w:rPr>
                <w:sz w:val="20"/>
                <w:szCs w:val="20"/>
                <w:color w:val="auto"/>
              </w:rPr>
            </w:pPr>
            <w:r>
              <w:rPr>
                <w:rFonts w:ascii="Arial" w:cs="Arial" w:eastAsia="Arial" w:hAnsi="Arial"/>
                <w:sz w:val="18"/>
                <w:szCs w:val="18"/>
                <w:b w:val="1"/>
                <w:bCs w:val="1"/>
                <w:color w:val="auto"/>
              </w:rPr>
              <w:t>2032</w:t>
            </w:r>
          </w:p>
        </w:tc>
        <w:tc>
          <w:tcPr>
            <w:tcW w:w="260" w:type="dxa"/>
            <w:vAlign w:val="bottom"/>
            <w:gridSpan w:val="2"/>
          </w:tcPr>
          <w:p>
            <w:pPr>
              <w:spacing w:after="0"/>
              <w:rPr>
                <w:sz w:val="18"/>
                <w:szCs w:val="18"/>
                <w:color w:val="auto"/>
              </w:rPr>
            </w:pPr>
          </w:p>
        </w:tc>
        <w:tc>
          <w:tcPr>
            <w:tcW w:w="740" w:type="dxa"/>
            <w:vAlign w:val="bottom"/>
            <w:tcBorders>
              <w:bottom w:val="single" w:sz="8" w:color="auto"/>
            </w:tcBorders>
            <w:gridSpan w:val="7"/>
          </w:tcPr>
          <w:p>
            <w:pPr>
              <w:jc w:val="right"/>
              <w:ind w:right="650"/>
              <w:spacing w:after="0"/>
              <w:rPr>
                <w:sz w:val="20"/>
                <w:szCs w:val="20"/>
                <w:color w:val="auto"/>
              </w:rPr>
            </w:pPr>
            <w:r>
              <w:rPr>
                <w:rFonts w:ascii="Arial" w:cs="Arial" w:eastAsia="Arial" w:hAnsi="Arial"/>
                <w:sz w:val="18"/>
                <w:szCs w:val="18"/>
                <w:b w:val="1"/>
                <w:bCs w:val="1"/>
                <w:color w:val="auto"/>
              </w:rPr>
              <w:t>2033</w:t>
            </w:r>
          </w:p>
        </w:tc>
        <w:tc>
          <w:tcPr>
            <w:tcW w:w="260" w:type="dxa"/>
            <w:vAlign w:val="bottom"/>
            <w:gridSpan w:val="3"/>
          </w:tcPr>
          <w:p>
            <w:pPr>
              <w:spacing w:after="0"/>
              <w:rPr>
                <w:sz w:val="18"/>
                <w:szCs w:val="18"/>
                <w:color w:val="auto"/>
              </w:rPr>
            </w:pPr>
          </w:p>
        </w:tc>
        <w:tc>
          <w:tcPr>
            <w:tcW w:w="760" w:type="dxa"/>
            <w:vAlign w:val="bottom"/>
            <w:tcBorders>
              <w:bottom w:val="single" w:sz="8" w:color="auto"/>
            </w:tcBorders>
            <w:gridSpan w:val="8"/>
          </w:tcPr>
          <w:p>
            <w:pPr>
              <w:jc w:val="right"/>
              <w:ind w:right="760"/>
              <w:spacing w:after="0"/>
              <w:rPr>
                <w:sz w:val="20"/>
                <w:szCs w:val="20"/>
                <w:color w:val="auto"/>
              </w:rPr>
            </w:pPr>
            <w:r>
              <w:rPr>
                <w:rFonts w:ascii="Arial" w:cs="Arial" w:eastAsia="Arial" w:hAnsi="Arial"/>
                <w:sz w:val="18"/>
                <w:szCs w:val="18"/>
                <w:b w:val="1"/>
                <w:bCs w:val="1"/>
                <w:color w:val="auto"/>
              </w:rPr>
              <w:t>2034</w:t>
            </w:r>
          </w:p>
        </w:tc>
        <w:tc>
          <w:tcPr>
            <w:tcW w:w="240" w:type="dxa"/>
            <w:vAlign w:val="bottom"/>
            <w:gridSpan w:val="3"/>
          </w:tcPr>
          <w:p>
            <w:pPr>
              <w:spacing w:after="0"/>
              <w:rPr>
                <w:sz w:val="18"/>
                <w:szCs w:val="18"/>
                <w:color w:val="auto"/>
              </w:rPr>
            </w:pPr>
          </w:p>
        </w:tc>
        <w:tc>
          <w:tcPr>
            <w:tcW w:w="780" w:type="dxa"/>
            <w:vAlign w:val="bottom"/>
            <w:tcBorders>
              <w:bottom w:val="single" w:sz="8" w:color="auto"/>
            </w:tcBorders>
            <w:gridSpan w:val="7"/>
          </w:tcPr>
          <w:p>
            <w:pPr>
              <w:jc w:val="right"/>
              <w:ind w:right="780"/>
              <w:spacing w:after="0"/>
              <w:rPr>
                <w:sz w:val="20"/>
                <w:szCs w:val="20"/>
                <w:color w:val="auto"/>
              </w:rPr>
            </w:pPr>
            <w:r>
              <w:rPr>
                <w:rFonts w:ascii="Arial" w:cs="Arial" w:eastAsia="Arial" w:hAnsi="Arial"/>
                <w:sz w:val="18"/>
                <w:szCs w:val="18"/>
                <w:b w:val="1"/>
                <w:bCs w:val="1"/>
                <w:color w:val="auto"/>
              </w:rPr>
              <w:t>2035</w:t>
            </w:r>
          </w:p>
        </w:tc>
        <w:tc>
          <w:tcPr>
            <w:tcW w:w="240" w:type="dxa"/>
            <w:vAlign w:val="bottom"/>
            <w:gridSpan w:val="3"/>
          </w:tcPr>
          <w:p>
            <w:pPr>
              <w:spacing w:after="0"/>
              <w:rPr>
                <w:sz w:val="18"/>
                <w:szCs w:val="18"/>
                <w:color w:val="auto"/>
              </w:rPr>
            </w:pPr>
          </w:p>
        </w:tc>
        <w:tc>
          <w:tcPr>
            <w:tcW w:w="760" w:type="dxa"/>
            <w:vAlign w:val="bottom"/>
            <w:tcBorders>
              <w:bottom w:val="single" w:sz="8" w:color="auto"/>
            </w:tcBorders>
            <w:gridSpan w:val="8"/>
          </w:tcPr>
          <w:p>
            <w:pPr>
              <w:jc w:val="right"/>
              <w:ind w:right="687"/>
              <w:spacing w:after="0"/>
              <w:rPr>
                <w:sz w:val="20"/>
                <w:szCs w:val="20"/>
                <w:color w:val="auto"/>
              </w:rPr>
            </w:pPr>
            <w:r>
              <w:rPr>
                <w:rFonts w:ascii="Arial" w:cs="Arial" w:eastAsia="Arial" w:hAnsi="Arial"/>
                <w:sz w:val="18"/>
                <w:szCs w:val="18"/>
                <w:b w:val="1"/>
                <w:bCs w:val="1"/>
                <w:color w:val="auto"/>
              </w:rPr>
              <w:t>2036</w:t>
            </w:r>
          </w:p>
        </w:tc>
        <w:tc>
          <w:tcPr>
            <w:tcW w:w="240" w:type="dxa"/>
            <w:vAlign w:val="bottom"/>
            <w:gridSpan w:val="2"/>
          </w:tcPr>
          <w:p>
            <w:pPr>
              <w:spacing w:after="0"/>
              <w:rPr>
                <w:sz w:val="18"/>
                <w:szCs w:val="18"/>
                <w:color w:val="auto"/>
              </w:rPr>
            </w:pPr>
          </w:p>
        </w:tc>
        <w:tc>
          <w:tcPr>
            <w:tcW w:w="780" w:type="dxa"/>
            <w:vAlign w:val="bottom"/>
            <w:tcBorders>
              <w:bottom w:val="single" w:sz="8" w:color="auto"/>
            </w:tcBorders>
            <w:gridSpan w:val="7"/>
          </w:tcPr>
          <w:p>
            <w:pPr>
              <w:jc w:val="right"/>
              <w:ind w:right="690"/>
              <w:spacing w:after="0"/>
              <w:rPr>
                <w:sz w:val="20"/>
                <w:szCs w:val="20"/>
                <w:color w:val="auto"/>
              </w:rPr>
            </w:pPr>
            <w:r>
              <w:rPr>
                <w:rFonts w:ascii="Arial" w:cs="Arial" w:eastAsia="Arial" w:hAnsi="Arial"/>
                <w:sz w:val="18"/>
                <w:szCs w:val="18"/>
                <w:b w:val="1"/>
                <w:bCs w:val="1"/>
                <w:color w:val="auto"/>
              </w:rPr>
              <w:t>2037</w:t>
            </w:r>
          </w:p>
        </w:tc>
        <w:tc>
          <w:tcPr>
            <w:tcW w:w="240" w:type="dxa"/>
            <w:vAlign w:val="bottom"/>
          </w:tcPr>
          <w:p>
            <w:pPr>
              <w:spacing w:after="0"/>
              <w:rPr>
                <w:sz w:val="18"/>
                <w:szCs w:val="18"/>
                <w:color w:val="auto"/>
              </w:rPr>
            </w:pPr>
          </w:p>
        </w:tc>
        <w:tc>
          <w:tcPr>
            <w:tcW w:w="780" w:type="dxa"/>
            <w:vAlign w:val="bottom"/>
            <w:tcBorders>
              <w:bottom w:val="single" w:sz="8" w:color="auto"/>
            </w:tcBorders>
            <w:gridSpan w:val="5"/>
          </w:tcPr>
          <w:p>
            <w:pPr>
              <w:jc w:val="right"/>
              <w:ind w:right="690"/>
              <w:spacing w:after="0"/>
              <w:rPr>
                <w:sz w:val="20"/>
                <w:szCs w:val="20"/>
                <w:color w:val="auto"/>
              </w:rPr>
            </w:pPr>
            <w:r>
              <w:rPr>
                <w:rFonts w:ascii="Arial" w:cs="Arial" w:eastAsia="Arial" w:hAnsi="Arial"/>
                <w:sz w:val="18"/>
                <w:szCs w:val="18"/>
                <w:b w:val="1"/>
                <w:bCs w:val="1"/>
                <w:color w:val="auto"/>
              </w:rPr>
              <w:t>2038</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EBIT</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2,193</w:t>
            </w:r>
          </w:p>
        </w:tc>
        <w:tc>
          <w:tcPr>
            <w:tcW w:w="160" w:type="dxa"/>
            <w:vAlign w:val="bottom"/>
            <w:tcBorders>
              <w:left w:val="single" w:sz="8" w:color="CCEEFF"/>
            </w:tcBorders>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1,729</w:t>
            </w:r>
          </w:p>
        </w:tc>
        <w:tc>
          <w:tcPr>
            <w:tcW w:w="1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left w:val="single" w:sz="8" w:color="CCEEFF"/>
              <w:right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left w:val="single" w:sz="8" w:color="CCEEFF"/>
              <w:righ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left w:val="single" w:sz="8" w:color="CCEEFF"/>
            </w:tcBorders>
            <w:shd w:val="clear" w:color="auto" w:fill="CCEEFF"/>
          </w:tcPr>
          <w:p>
            <w:pPr>
              <w:spacing w:after="0"/>
              <w:rPr>
                <w:sz w:val="18"/>
                <w:szCs w:val="18"/>
                <w:color w:val="auto"/>
              </w:rPr>
            </w:pPr>
          </w:p>
        </w:tc>
        <w:tc>
          <w:tcPr>
            <w:tcW w:w="600" w:type="dxa"/>
            <w:vAlign w:val="bottom"/>
            <w:tcBorders>
              <w:right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0" w:type="dxa"/>
            <w:vAlign w:val="bottom"/>
            <w:tcBorders>
              <w:left w:val="single" w:sz="8" w:color="CCEEFF"/>
              <w:right w:val="single" w:sz="8" w:color="CCEEFF"/>
            </w:tcBorders>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left w:val="single" w:sz="8" w:color="CCEEFF"/>
            </w:tcBorders>
            <w:gridSpan w:val="6"/>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8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80" w:type="dxa"/>
            <w:vAlign w:val="bottom"/>
            <w:tcBorders>
              <w:left w:val="single" w:sz="8" w:color="CCEEFF"/>
            </w:tcBorders>
            <w:shd w:val="clear" w:color="auto" w:fill="CCEEFF"/>
          </w:tcPr>
          <w:p>
            <w:pPr>
              <w:spacing w:after="0"/>
              <w:rPr>
                <w:sz w:val="18"/>
                <w:szCs w:val="18"/>
                <w:color w:val="auto"/>
              </w:rPr>
            </w:pPr>
          </w:p>
        </w:tc>
        <w:tc>
          <w:tcPr>
            <w:tcW w:w="2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40" w:type="dxa"/>
            <w:vAlign w:val="bottom"/>
            <w:tcBorders>
              <w:left w:val="single" w:sz="8" w:color="CCEEFF"/>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60" w:type="dxa"/>
            <w:vAlign w:val="bottom"/>
          </w:tcPr>
          <w:p>
            <w:pPr>
              <w:spacing w:after="0"/>
              <w:rPr>
                <w:sz w:val="15"/>
                <w:szCs w:val="15"/>
                <w:color w:val="auto"/>
              </w:rPr>
            </w:pPr>
          </w:p>
        </w:tc>
        <w:tc>
          <w:tcPr>
            <w:tcW w:w="2760" w:type="dxa"/>
            <w:vAlign w:val="bottom"/>
            <w:gridSpan w:val="6"/>
          </w:tcPr>
          <w:p>
            <w:pPr>
              <w:ind w:left="20"/>
              <w:spacing w:after="0" w:line="176" w:lineRule="exact"/>
              <w:rPr>
                <w:sz w:val="20"/>
                <w:szCs w:val="20"/>
                <w:color w:val="auto"/>
              </w:rPr>
            </w:pPr>
            <w:r>
              <w:rPr>
                <w:rFonts w:ascii="Arial" w:cs="Arial" w:eastAsia="Arial" w:hAnsi="Arial"/>
                <w:sz w:val="18"/>
                <w:szCs w:val="18"/>
                <w:b w:val="1"/>
                <w:bCs w:val="1"/>
                <w:color w:val="auto"/>
              </w:rPr>
              <w:t>Taxes</w:t>
            </w:r>
          </w:p>
        </w:tc>
        <w:tc>
          <w:tcPr>
            <w:tcW w:w="440" w:type="dxa"/>
            <w:vAlign w:val="bottom"/>
            <w:gridSpan w:val="3"/>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5"/>
                <w:szCs w:val="15"/>
                <w:color w:val="auto"/>
              </w:rPr>
            </w:pPr>
          </w:p>
        </w:tc>
        <w:tc>
          <w:tcPr>
            <w:tcW w:w="740" w:type="dxa"/>
            <w:vAlign w:val="bottom"/>
            <w:gridSpan w:val="3"/>
          </w:tcPr>
          <w:p>
            <w:pPr>
              <w:jc w:val="right"/>
              <w:spacing w:after="0" w:line="176" w:lineRule="exact"/>
              <w:rPr>
                <w:sz w:val="20"/>
                <w:szCs w:val="20"/>
                <w:color w:val="auto"/>
              </w:rPr>
            </w:pPr>
            <w:r>
              <w:rPr>
                <w:rFonts w:ascii="Arial" w:cs="Arial" w:eastAsia="Arial" w:hAnsi="Arial"/>
                <w:sz w:val="18"/>
                <w:szCs w:val="18"/>
                <w:b w:val="1"/>
                <w:bCs w:val="1"/>
                <w:color w:val="auto"/>
              </w:rPr>
              <w:t>(570)</w:t>
            </w:r>
          </w:p>
        </w:tc>
        <w:tc>
          <w:tcPr>
            <w:tcW w:w="16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 w:type="dxa"/>
            <w:vAlign w:val="bottom"/>
          </w:tcPr>
          <w:p>
            <w:pPr>
              <w:spacing w:after="0"/>
              <w:rPr>
                <w:sz w:val="15"/>
                <w:szCs w:val="15"/>
                <w:color w:val="auto"/>
              </w:rPr>
            </w:pPr>
          </w:p>
        </w:tc>
        <w:tc>
          <w:tcPr>
            <w:tcW w:w="760" w:type="dxa"/>
            <w:vAlign w:val="bottom"/>
            <w:gridSpan w:val="4"/>
          </w:tcPr>
          <w:p>
            <w:pPr>
              <w:jc w:val="right"/>
              <w:ind w:right="40"/>
              <w:spacing w:after="0" w:line="176" w:lineRule="exact"/>
              <w:rPr>
                <w:sz w:val="20"/>
                <w:szCs w:val="20"/>
                <w:color w:val="auto"/>
              </w:rPr>
            </w:pPr>
            <w:r>
              <w:rPr>
                <w:rFonts w:ascii="Arial" w:cs="Arial" w:eastAsia="Arial" w:hAnsi="Arial"/>
                <w:sz w:val="18"/>
                <w:szCs w:val="18"/>
                <w:b w:val="1"/>
                <w:bCs w:val="1"/>
                <w:color w:val="auto"/>
              </w:rPr>
              <w:t>(449)</w:t>
            </w:r>
          </w:p>
        </w:tc>
        <w:tc>
          <w:tcPr>
            <w:tcW w:w="160" w:type="dxa"/>
            <w:vAlign w:val="bottom"/>
          </w:tcPr>
          <w:p>
            <w:pPr>
              <w:spacing w:after="0"/>
              <w:rPr>
                <w:sz w:val="15"/>
                <w:szCs w:val="15"/>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gridSpan w:val="7"/>
          </w:tcPr>
          <w:p>
            <w:pPr>
              <w:jc w:val="right"/>
              <w:spacing w:after="0" w:line="176" w:lineRule="exact"/>
              <w:rPr>
                <w:sz w:val="20"/>
                <w:szCs w:val="20"/>
                <w:color w:val="auto"/>
              </w:rPr>
            </w:pPr>
            <w:r>
              <w:rPr>
                <w:rFonts w:ascii="Arial" w:cs="Arial" w:eastAsia="Arial" w:hAnsi="Arial"/>
                <w:sz w:val="18"/>
                <w:szCs w:val="18"/>
                <w:b w:val="1"/>
                <w:bCs w:val="1"/>
                <w:color w:val="auto"/>
              </w:rPr>
              <w:t>(142</w:t>
            </w:r>
            <w:r>
              <w:rPr>
                <w:rFonts w:ascii="Arial" w:cs="Arial" w:eastAsia="Arial" w:hAnsi="Arial"/>
                <w:sz w:val="18"/>
                <w:szCs w:val="18"/>
                <w:color w:val="auto"/>
              </w:rPr>
              <w:t>)</w:t>
            </w:r>
          </w:p>
        </w:tc>
        <w:tc>
          <w:tcPr>
            <w:tcW w:w="240" w:type="dxa"/>
            <w:vAlign w:val="bottom"/>
            <w:gridSpan w:val="3"/>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5"/>
                <w:szCs w:val="15"/>
                <w:color w:val="auto"/>
              </w:rPr>
            </w:pPr>
          </w:p>
        </w:tc>
        <w:tc>
          <w:tcPr>
            <w:tcW w:w="680" w:type="dxa"/>
            <w:vAlign w:val="bottom"/>
            <w:gridSpan w:val="7"/>
          </w:tcPr>
          <w:p>
            <w:pPr>
              <w:jc w:val="right"/>
              <w:ind w:right="20"/>
              <w:spacing w:after="0" w:line="176" w:lineRule="exact"/>
              <w:rPr>
                <w:sz w:val="20"/>
                <w:szCs w:val="20"/>
                <w:color w:val="auto"/>
              </w:rPr>
            </w:pPr>
            <w:r>
              <w:rPr>
                <w:rFonts w:ascii="Arial" w:cs="Arial" w:eastAsia="Arial" w:hAnsi="Arial"/>
                <w:sz w:val="18"/>
                <w:szCs w:val="18"/>
                <w:b w:val="1"/>
                <w:bCs w:val="1"/>
                <w:color w:val="auto"/>
              </w:rPr>
              <w:t>(130)</w:t>
            </w:r>
          </w:p>
        </w:tc>
        <w:tc>
          <w:tcPr>
            <w:tcW w:w="240" w:type="dxa"/>
            <w:vAlign w:val="bottom"/>
            <w:gridSpan w:val="3"/>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700" w:type="dxa"/>
            <w:vAlign w:val="bottom"/>
            <w:gridSpan w:val="6"/>
          </w:tcPr>
          <w:p>
            <w:pPr>
              <w:jc w:val="right"/>
              <w:spacing w:after="0" w:line="176" w:lineRule="exact"/>
              <w:rPr>
                <w:sz w:val="20"/>
                <w:szCs w:val="20"/>
                <w:color w:val="auto"/>
              </w:rPr>
            </w:pPr>
            <w:r>
              <w:rPr>
                <w:rFonts w:ascii="Arial" w:cs="Arial" w:eastAsia="Arial" w:hAnsi="Arial"/>
                <w:sz w:val="18"/>
                <w:szCs w:val="18"/>
                <w:b w:val="1"/>
                <w:bCs w:val="1"/>
                <w:color w:val="auto"/>
              </w:rPr>
              <w:t>(115)</w:t>
            </w:r>
          </w:p>
        </w:tc>
        <w:tc>
          <w:tcPr>
            <w:tcW w:w="80" w:type="dxa"/>
            <w:vAlign w:val="bottom"/>
          </w:tcPr>
          <w:p>
            <w:pPr>
              <w:spacing w:after="0"/>
              <w:rPr>
                <w:sz w:val="15"/>
                <w:szCs w:val="15"/>
                <w:color w:val="auto"/>
              </w:rPr>
            </w:pPr>
          </w:p>
        </w:tc>
        <w:tc>
          <w:tcPr>
            <w:tcW w:w="220" w:type="dxa"/>
            <w:vAlign w:val="bottom"/>
            <w:gridSpan w:val="3"/>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5"/>
                <w:szCs w:val="15"/>
                <w:color w:val="auto"/>
              </w:rPr>
            </w:pPr>
          </w:p>
        </w:tc>
        <w:tc>
          <w:tcPr>
            <w:tcW w:w="600" w:type="dxa"/>
            <w:vAlign w:val="bottom"/>
            <w:gridSpan w:val="6"/>
          </w:tcPr>
          <w:p>
            <w:pPr>
              <w:jc w:val="right"/>
              <w:spacing w:after="0" w:line="176" w:lineRule="exact"/>
              <w:rPr>
                <w:sz w:val="20"/>
                <w:szCs w:val="20"/>
                <w:color w:val="auto"/>
              </w:rPr>
            </w:pPr>
            <w:r>
              <w:rPr>
                <w:rFonts w:ascii="Arial" w:cs="Arial" w:eastAsia="Arial" w:hAnsi="Arial"/>
                <w:sz w:val="18"/>
                <w:szCs w:val="18"/>
                <w:b w:val="1"/>
                <w:bCs w:val="1"/>
                <w:color w:val="auto"/>
              </w:rPr>
              <w:t>(107)</w:t>
            </w:r>
          </w:p>
        </w:tc>
        <w:tc>
          <w:tcPr>
            <w:tcW w:w="80" w:type="dxa"/>
            <w:vAlign w:val="bottom"/>
          </w:tcPr>
          <w:p>
            <w:pPr>
              <w:spacing w:after="0"/>
              <w:rPr>
                <w:sz w:val="15"/>
                <w:szCs w:val="15"/>
                <w:color w:val="auto"/>
              </w:rPr>
            </w:pPr>
          </w:p>
        </w:tc>
        <w:tc>
          <w:tcPr>
            <w:tcW w:w="260" w:type="dxa"/>
            <w:vAlign w:val="bottom"/>
            <w:gridSpan w:val="2"/>
          </w:tcPr>
          <w:p>
            <w:pPr>
              <w:jc w:val="right"/>
              <w:spacing w:after="0" w:line="176" w:lineRule="exact"/>
              <w:rPr>
                <w:sz w:val="20"/>
                <w:szCs w:val="20"/>
                <w:color w:val="auto"/>
              </w:rPr>
            </w:pPr>
            <w:r>
              <w:rPr>
                <w:rFonts w:ascii="Arial" w:cs="Arial" w:eastAsia="Arial" w:hAnsi="Arial"/>
                <w:sz w:val="18"/>
                <w:szCs w:val="18"/>
                <w:b w:val="1"/>
                <w:bCs w:val="1"/>
                <w:color w:val="auto"/>
              </w:rPr>
              <w:t>$</w:t>
            </w:r>
          </w:p>
        </w:tc>
        <w:tc>
          <w:tcPr>
            <w:tcW w:w="680" w:type="dxa"/>
            <w:vAlign w:val="bottom"/>
            <w:gridSpan w:val="6"/>
          </w:tcPr>
          <w:p>
            <w:pPr>
              <w:jc w:val="right"/>
              <w:spacing w:after="0" w:line="176" w:lineRule="exact"/>
              <w:rPr>
                <w:sz w:val="20"/>
                <w:szCs w:val="20"/>
                <w:color w:val="auto"/>
              </w:rPr>
            </w:pPr>
            <w:r>
              <w:rPr>
                <w:rFonts w:ascii="Arial" w:cs="Arial" w:eastAsia="Arial" w:hAnsi="Arial"/>
                <w:sz w:val="18"/>
                <w:szCs w:val="18"/>
                <w:b w:val="1"/>
                <w:bCs w:val="1"/>
                <w:color w:val="auto"/>
              </w:rPr>
              <w:t>(106)</w:t>
            </w:r>
          </w:p>
        </w:tc>
        <w:tc>
          <w:tcPr>
            <w:tcW w:w="24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5"/>
          </w:tcPr>
          <w:p>
            <w:pPr>
              <w:jc w:val="right"/>
              <w:spacing w:after="0" w:line="176" w:lineRule="exact"/>
              <w:rPr>
                <w:sz w:val="20"/>
                <w:szCs w:val="20"/>
                <w:color w:val="auto"/>
              </w:rPr>
            </w:pPr>
            <w:r>
              <w:rPr>
                <w:rFonts w:ascii="Arial" w:cs="Arial" w:eastAsia="Arial" w:hAnsi="Arial"/>
                <w:sz w:val="18"/>
                <w:szCs w:val="18"/>
                <w:b w:val="1"/>
                <w:bCs w:val="1"/>
                <w:color w:val="auto"/>
              </w:rPr>
              <w:t>(103)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2660" w:type="dxa"/>
            <w:vAlign w:val="bottom"/>
            <w:tcBorders>
              <w:bottom w:val="single" w:sz="8" w:color="CCEEFF"/>
            </w:tcBorders>
            <w:gridSpan w:val="5"/>
          </w:tcPr>
          <w:p>
            <w:pPr>
              <w:spacing w:after="0" w:line="20" w:lineRule="exact"/>
              <w:rPr>
                <w:sz w:val="1"/>
                <w:szCs w:val="1"/>
                <w:color w:val="auto"/>
              </w:rPr>
            </w:pPr>
          </w:p>
        </w:tc>
        <w:tc>
          <w:tcPr>
            <w:tcW w:w="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CCEEFF"/>
            </w:tcBorders>
            <w:gridSpan w:val="2"/>
          </w:tcPr>
          <w:p>
            <w:pPr>
              <w:spacing w:after="0" w:line="20" w:lineRule="exact"/>
              <w:rPr>
                <w:sz w:val="1"/>
                <w:szCs w:val="1"/>
                <w:color w:val="auto"/>
              </w:rPr>
            </w:pPr>
          </w:p>
        </w:tc>
        <w:tc>
          <w:tcPr>
            <w:tcW w:w="42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gridSpan w:val="4"/>
          </w:tcPr>
          <w:p>
            <w:pPr>
              <w:spacing w:after="0" w:line="20" w:lineRule="exact"/>
              <w:rPr>
                <w:sz w:val="1"/>
                <w:szCs w:val="1"/>
                <w:color w:val="auto"/>
              </w:rPr>
            </w:pPr>
          </w:p>
        </w:tc>
        <w:tc>
          <w:tcPr>
            <w:tcW w:w="240" w:type="dxa"/>
            <w:vAlign w:val="bottom"/>
            <w:tcBorders>
              <w:bottom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CCEEFF"/>
            </w:tcBorders>
            <w:gridSpan w:val="2"/>
          </w:tcPr>
          <w:p>
            <w:pPr>
              <w:spacing w:after="0" w:line="20" w:lineRule="exact"/>
              <w:rPr>
                <w:sz w:val="1"/>
                <w:szCs w:val="1"/>
                <w:color w:val="auto"/>
              </w:rPr>
            </w:pPr>
          </w:p>
        </w:tc>
        <w:tc>
          <w:tcPr>
            <w:tcW w:w="380" w:type="dxa"/>
            <w:vAlign w:val="bottom"/>
            <w:tcBorders>
              <w:top w:val="single" w:sz="8" w:color="auto"/>
              <w:bottom w:val="single" w:sz="8" w:color="auto"/>
            </w:tcBorders>
            <w:gridSpan w:val="6"/>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gridSpan w:val="5"/>
          </w:tcPr>
          <w:p>
            <w:pPr>
              <w:spacing w:after="0" w:line="20" w:lineRule="exact"/>
              <w:rPr>
                <w:sz w:val="1"/>
                <w:szCs w:val="1"/>
                <w:color w:val="auto"/>
              </w:rPr>
            </w:pPr>
          </w:p>
        </w:tc>
        <w:tc>
          <w:tcPr>
            <w:tcW w:w="220" w:type="dxa"/>
            <w:vAlign w:val="bottom"/>
            <w:tcBorders>
              <w:bottom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bottom w:val="single" w:sz="8" w:color="CCEEFF"/>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4"/>
          </w:tcPr>
          <w:p>
            <w:pPr>
              <w:spacing w:after="0" w:line="20" w:lineRule="exact"/>
              <w:rPr>
                <w:sz w:val="1"/>
                <w:szCs w:val="1"/>
                <w:color w:val="auto"/>
              </w:rPr>
            </w:pPr>
          </w:p>
        </w:tc>
        <w:tc>
          <w:tcPr>
            <w:tcW w:w="240" w:type="dxa"/>
            <w:vAlign w:val="bottom"/>
            <w:tcBorders>
              <w:bottom w:val="single" w:sz="8" w:color="CCEEFF"/>
            </w:tcBorders>
            <w:gridSpan w:val="2"/>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gridSpan w:val="5"/>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gridSpan w:val="3"/>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60" w:type="dxa"/>
            <w:vAlign w:val="bottom"/>
            <w:shd w:val="clear" w:color="auto" w:fill="CCEEFF"/>
          </w:tcPr>
          <w:p>
            <w:pPr>
              <w:spacing w:after="0"/>
              <w:rPr>
                <w:sz w:val="13"/>
                <w:szCs w:val="13"/>
                <w:color w:val="auto"/>
              </w:rPr>
            </w:pPr>
          </w:p>
        </w:tc>
        <w:tc>
          <w:tcPr>
            <w:tcW w:w="2280" w:type="dxa"/>
            <w:vAlign w:val="bottom"/>
            <w:tcBorders>
              <w:right w:val="single" w:sz="8" w:color="CCEEFF"/>
            </w:tcBorders>
            <w:gridSpan w:val="4"/>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91"/>
              </w:rPr>
              <w:t>Depreciation &amp; Amortization</w:t>
            </w:r>
          </w:p>
        </w:tc>
        <w:tc>
          <w:tcPr>
            <w:tcW w:w="480" w:type="dxa"/>
            <w:vAlign w:val="bottom"/>
            <w:gridSpan w:val="2"/>
            <w:shd w:val="clear" w:color="auto" w:fill="CCEEFF"/>
          </w:tcPr>
          <w:p>
            <w:pPr>
              <w:spacing w:after="0"/>
              <w:rPr>
                <w:sz w:val="13"/>
                <w:szCs w:val="13"/>
                <w:color w:val="auto"/>
              </w:rPr>
            </w:pPr>
          </w:p>
        </w:tc>
        <w:tc>
          <w:tcPr>
            <w:tcW w:w="360" w:type="dxa"/>
            <w:vAlign w:val="bottom"/>
            <w:tcBorders>
              <w:right w:val="single" w:sz="8" w:color="CCEEFF"/>
            </w:tcBorders>
            <w:shd w:val="clear" w:color="auto" w:fill="CCEEFF"/>
          </w:tcPr>
          <w:p>
            <w:pPr>
              <w:spacing w:after="0"/>
              <w:rPr>
                <w:sz w:val="13"/>
                <w:szCs w:val="13"/>
                <w:color w:val="auto"/>
              </w:rPr>
            </w:pPr>
          </w:p>
        </w:tc>
        <w:tc>
          <w:tcPr>
            <w:tcW w:w="80" w:type="dxa"/>
            <w:vAlign w:val="bottom"/>
            <w:tcBorders>
              <w:left w:val="single" w:sz="8" w:color="CCEEFF"/>
            </w:tcBorders>
            <w:gridSpan w:val="2"/>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w w:val="71"/>
              </w:rPr>
              <w:t>$</w:t>
            </w:r>
          </w:p>
        </w:tc>
        <w:tc>
          <w:tcPr>
            <w:tcW w:w="20" w:type="dxa"/>
            <w:vAlign w:val="bottom"/>
            <w:shd w:val="clear" w:color="auto" w:fill="CCEEFF"/>
          </w:tcPr>
          <w:p>
            <w:pPr>
              <w:spacing w:after="0"/>
              <w:rPr>
                <w:sz w:val="13"/>
                <w:szCs w:val="13"/>
                <w:color w:val="auto"/>
              </w:rPr>
            </w:pPr>
          </w:p>
        </w:tc>
        <w:tc>
          <w:tcPr>
            <w:tcW w:w="440" w:type="dxa"/>
            <w:vAlign w:val="bottom"/>
            <w:tcBorders>
              <w:right w:val="single" w:sz="8" w:color="CCEEFF"/>
            </w:tcBorders>
            <w:shd w:val="clear" w:color="auto" w:fill="CCEEFF"/>
          </w:tcPr>
          <w:p>
            <w:pPr>
              <w:spacing w:after="0"/>
              <w:rPr>
                <w:sz w:val="13"/>
                <w:szCs w:val="13"/>
                <w:color w:val="auto"/>
              </w:rPr>
            </w:pPr>
          </w:p>
        </w:tc>
        <w:tc>
          <w:tcPr>
            <w:tcW w:w="140" w:type="dxa"/>
            <w:vAlign w:val="bottom"/>
            <w:tcBorders>
              <w:right w:val="single" w:sz="8" w:color="CCEEFF"/>
            </w:tcBorders>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w:t>
            </w:r>
          </w:p>
        </w:tc>
        <w:tc>
          <w:tcPr>
            <w:tcW w:w="160" w:type="dxa"/>
            <w:vAlign w:val="bottom"/>
            <w:tcBorders>
              <w:left w:val="single" w:sz="8" w:color="CCEEFF"/>
            </w:tcBorders>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w w:val="71"/>
              </w:rPr>
              <w:t>$</w:t>
            </w:r>
          </w:p>
        </w:tc>
        <w:tc>
          <w:tcPr>
            <w:tcW w:w="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20" w:type="dxa"/>
            <w:vAlign w:val="bottom"/>
            <w:tcBorders>
              <w:right w:val="single" w:sz="8" w:color="CCEEFF"/>
            </w:tcBorders>
            <w:gridSpan w:val="3"/>
            <w:shd w:val="clear" w:color="auto" w:fill="CCEEFF"/>
          </w:tcPr>
          <w:p>
            <w:pPr>
              <w:jc w:val="right"/>
              <w:ind w:right="100"/>
              <w:spacing w:after="0" w:line="156" w:lineRule="exact"/>
              <w:rPr>
                <w:sz w:val="20"/>
                <w:szCs w:val="20"/>
                <w:color w:val="auto"/>
              </w:rPr>
            </w:pPr>
            <w:r>
              <w:rPr>
                <w:rFonts w:ascii="Arial" w:cs="Arial" w:eastAsia="Arial" w:hAnsi="Arial"/>
                <w:sz w:val="18"/>
                <w:szCs w:val="18"/>
                <w:b w:val="1"/>
                <w:bCs w:val="1"/>
                <w:color w:val="auto"/>
              </w:rPr>
              <w:t>1</w:t>
            </w:r>
          </w:p>
        </w:tc>
        <w:tc>
          <w:tcPr>
            <w:tcW w:w="160" w:type="dxa"/>
            <w:vAlign w:val="bottom"/>
            <w:tcBorders>
              <w:right w:val="single" w:sz="8" w:color="CCEEFF"/>
            </w:tcBorders>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360" w:type="dxa"/>
            <w:vAlign w:val="bottom"/>
            <w:tcBorders>
              <w:lef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tcBorders>
              <w:right w:val="single" w:sz="8" w:color="CCEEFF"/>
            </w:tcBorders>
            <w:gridSpan w:val="4"/>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rPr>
              <w:t>1</w:t>
            </w:r>
          </w:p>
        </w:tc>
        <w:tc>
          <w:tcPr>
            <w:tcW w:w="100" w:type="dxa"/>
            <w:vAlign w:val="bottom"/>
            <w:tcBorders>
              <w:left w:val="single" w:sz="8" w:color="CCEEFF"/>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80" w:type="dxa"/>
            <w:vAlign w:val="bottom"/>
            <w:tcBorders>
              <w:left w:val="single" w:sz="8" w:color="CCEEFF"/>
            </w:tcBorders>
            <w:shd w:val="clear" w:color="auto" w:fill="CCEEFF"/>
          </w:tcPr>
          <w:p>
            <w:pPr>
              <w:spacing w:after="0"/>
              <w:rPr>
                <w:sz w:val="13"/>
                <w:szCs w:val="13"/>
                <w:color w:val="auto"/>
              </w:rPr>
            </w:pPr>
          </w:p>
        </w:tc>
        <w:tc>
          <w:tcPr>
            <w:tcW w:w="300" w:type="dxa"/>
            <w:vAlign w:val="bottom"/>
            <w:tcBorders>
              <w:right w:val="single" w:sz="8" w:color="CCEEFF"/>
            </w:tcBorders>
            <w:shd w:val="clear" w:color="auto" w:fill="CCEEFF"/>
          </w:tcPr>
          <w:p>
            <w:pPr>
              <w:spacing w:after="0"/>
              <w:rPr>
                <w:sz w:val="13"/>
                <w:szCs w:val="13"/>
                <w:color w:val="auto"/>
              </w:rPr>
            </w:pPr>
          </w:p>
        </w:tc>
        <w:tc>
          <w:tcPr>
            <w:tcW w:w="300" w:type="dxa"/>
            <w:vAlign w:val="bottom"/>
            <w:tcBorders>
              <w:right w:val="single" w:sz="8" w:color="CCEEFF"/>
            </w:tcBorders>
            <w:gridSpan w:val="5"/>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rPr>
              <w:t>1</w:t>
            </w:r>
          </w:p>
        </w:tc>
        <w:tc>
          <w:tcPr>
            <w:tcW w:w="80" w:type="dxa"/>
            <w:vAlign w:val="bottom"/>
            <w:tcBorders>
              <w:left w:val="single" w:sz="8" w:color="CCEEFF"/>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380" w:type="dxa"/>
            <w:vAlign w:val="bottom"/>
            <w:tcBorders>
              <w:left w:val="single" w:sz="8" w:color="CCEEFF"/>
            </w:tcBorders>
            <w:shd w:val="clear" w:color="auto" w:fill="CCEEFF"/>
          </w:tcPr>
          <w:p>
            <w:pPr>
              <w:spacing w:after="0"/>
              <w:rPr>
                <w:sz w:val="13"/>
                <w:szCs w:val="13"/>
                <w:color w:val="auto"/>
              </w:rPr>
            </w:pPr>
          </w:p>
        </w:tc>
        <w:tc>
          <w:tcPr>
            <w:tcW w:w="320" w:type="dxa"/>
            <w:vAlign w:val="bottom"/>
            <w:gridSpan w:val="5"/>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rPr>
              <w:t>1</w:t>
            </w:r>
          </w:p>
        </w:tc>
        <w:tc>
          <w:tcPr>
            <w:tcW w:w="80" w:type="dxa"/>
            <w:vAlign w:val="bottom"/>
            <w:tcBorders>
              <w:lef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0" w:type="dxa"/>
            <w:vAlign w:val="bottom"/>
            <w:tcBorders>
              <w:left w:val="single" w:sz="8" w:color="CCEEFF"/>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gridSpan w:val="5"/>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rPr>
              <w:t>1</w:t>
            </w:r>
          </w:p>
        </w:tc>
        <w:tc>
          <w:tcPr>
            <w:tcW w:w="80" w:type="dxa"/>
            <w:vAlign w:val="bottom"/>
            <w:tcBorders>
              <w:left w:val="single" w:sz="8" w:color="CCEEFF"/>
            </w:tcBorders>
            <w:shd w:val="clear" w:color="auto" w:fill="CCEEFF"/>
          </w:tcPr>
          <w:p>
            <w:pPr>
              <w:spacing w:after="0"/>
              <w:rPr>
                <w:sz w:val="13"/>
                <w:szCs w:val="13"/>
                <w:color w:val="auto"/>
              </w:rPr>
            </w:pPr>
          </w:p>
        </w:tc>
        <w:tc>
          <w:tcPr>
            <w:tcW w:w="260" w:type="dxa"/>
            <w:vAlign w:val="bottom"/>
            <w:tcBorders>
              <w:right w:val="single" w:sz="8" w:color="CCEEFF"/>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3"/>
                <w:szCs w:val="13"/>
                <w:color w:val="auto"/>
              </w:rPr>
            </w:pPr>
          </w:p>
        </w:tc>
        <w:tc>
          <w:tcPr>
            <w:tcW w:w="340" w:type="dxa"/>
            <w:vAlign w:val="bottom"/>
            <w:gridSpan w:val="5"/>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rPr>
              <w:t>1</w:t>
            </w:r>
          </w:p>
        </w:tc>
        <w:tc>
          <w:tcPr>
            <w:tcW w:w="240" w:type="dxa"/>
            <w:vAlign w:val="bottom"/>
            <w:tcBorders>
              <w:left w:val="single" w:sz="8" w:color="CCEEFF"/>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w w:val="71"/>
              </w:rPr>
              <w:t>$</w:t>
            </w:r>
          </w:p>
        </w:tc>
        <w:tc>
          <w:tcPr>
            <w:tcW w:w="360" w:type="dxa"/>
            <w:vAlign w:val="bottom"/>
            <w:shd w:val="clear" w:color="auto" w:fill="CCEEFF"/>
          </w:tcPr>
          <w:p>
            <w:pPr>
              <w:spacing w:after="0"/>
              <w:rPr>
                <w:sz w:val="13"/>
                <w:szCs w:val="13"/>
                <w:color w:val="auto"/>
              </w:rPr>
            </w:pPr>
          </w:p>
        </w:tc>
        <w:tc>
          <w:tcPr>
            <w:tcW w:w="340" w:type="dxa"/>
            <w:vAlign w:val="bottom"/>
            <w:tcBorders>
              <w:right w:val="single" w:sz="8" w:color="CCEEFF"/>
            </w:tcBorders>
            <w:gridSpan w:val="3"/>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rPr>
              <w:t>1</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auto"/>
              <w:bottom w:val="single" w:sz="8" w:color="auto"/>
              <w:right w:val="single" w:sz="8" w:color="CCEEFF"/>
            </w:tcBorders>
            <w:gridSpan w:val="4"/>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left w:val="single" w:sz="8" w:color="CCEEFF"/>
              <w:right w:val="single" w:sz="8" w:color="CCEEFF"/>
            </w:tcBorders>
            <w:gridSpan w:val="2"/>
            <w:shd w:val="clear" w:color="auto" w:fill="CCEEFF"/>
          </w:tcPr>
          <w:p>
            <w:pPr>
              <w:spacing w:after="0" w:line="20" w:lineRule="exact"/>
              <w:rPr>
                <w:sz w:val="1"/>
                <w:szCs w:val="1"/>
                <w:color w:val="auto"/>
              </w:rPr>
            </w:pPr>
          </w:p>
        </w:tc>
        <w:tc>
          <w:tcPr>
            <w:tcW w:w="80" w:type="dxa"/>
            <w:vAlign w:val="bottom"/>
            <w:tcBorders>
              <w:top w:val="single" w:sz="8" w:color="auto"/>
              <w:left w:val="single" w:sz="8" w:color="CCEEFF"/>
              <w:bottom w:val="single" w:sz="8" w:color="auto"/>
            </w:tcBorders>
            <w:gridSpan w:val="2"/>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bottom w:val="single" w:sz="8" w:color="auto"/>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bottom w:val="single" w:sz="8" w:color="auto"/>
              <w:righ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right w:val="single" w:sz="8" w:color="CCEEFF"/>
            </w:tcBorders>
            <w:gridSpan w:val="3"/>
            <w:shd w:val="clear" w:color="auto" w:fill="CCEEFF"/>
          </w:tcPr>
          <w:p>
            <w:pPr>
              <w:spacing w:after="0" w:line="20" w:lineRule="exact"/>
              <w:rPr>
                <w:sz w:val="1"/>
                <w:szCs w:val="1"/>
                <w:color w:val="auto"/>
              </w:rPr>
            </w:pPr>
          </w:p>
        </w:tc>
        <w:tc>
          <w:tcPr>
            <w:tcW w:w="80" w:type="dxa"/>
            <w:vAlign w:val="bottom"/>
            <w:tcBorders>
              <w:top w:val="single" w:sz="8" w:color="auto"/>
              <w:left w:val="single" w:sz="8" w:color="CCEEFF"/>
              <w:bottom w:val="single" w:sz="8" w:color="auto"/>
            </w:tcBorders>
            <w:shd w:val="clear" w:color="auto" w:fill="CCEEFF"/>
          </w:tcPr>
          <w:p>
            <w:pPr>
              <w:spacing w:after="0" w:line="20" w:lineRule="exact"/>
              <w:rPr>
                <w:sz w:val="1"/>
                <w:szCs w:val="1"/>
                <w:color w:val="auto"/>
              </w:rPr>
            </w:pPr>
          </w:p>
        </w:tc>
        <w:tc>
          <w:tcPr>
            <w:tcW w:w="10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60" w:type="dxa"/>
            <w:vAlign w:val="bottom"/>
            <w:tcBorders>
              <w:top w:val="single" w:sz="8" w:color="auto"/>
              <w:bottom w:val="single" w:sz="8" w:color="auto"/>
            </w:tcBorders>
            <w:shd w:val="clear" w:color="auto" w:fill="CCEEFF"/>
          </w:tcPr>
          <w:p>
            <w:pPr>
              <w:spacing w:after="0" w:line="20" w:lineRule="exact"/>
              <w:rPr>
                <w:sz w:val="1"/>
                <w:szCs w:val="1"/>
                <w:color w:val="auto"/>
              </w:rPr>
            </w:pPr>
          </w:p>
        </w:tc>
        <w:tc>
          <w:tcPr>
            <w:tcW w:w="420" w:type="dxa"/>
            <w:vAlign w:val="bottom"/>
            <w:tcBorders>
              <w:top w:val="single" w:sz="8" w:color="CCEEFF"/>
              <w:left w:val="single" w:sz="8" w:color="CCEEFF"/>
            </w:tcBorders>
            <w:gridSpan w:val="3"/>
            <w:shd w:val="clear" w:color="auto" w:fill="CCEEFF"/>
          </w:tcPr>
          <w:p>
            <w:pPr>
              <w:spacing w:after="0" w:line="20" w:lineRule="exact"/>
              <w:rPr>
                <w:sz w:val="1"/>
                <w:szCs w:val="1"/>
                <w:color w:val="auto"/>
              </w:rPr>
            </w:pPr>
          </w:p>
        </w:tc>
        <w:tc>
          <w:tcPr>
            <w:tcW w:w="260" w:type="dxa"/>
            <w:vAlign w:val="bottom"/>
            <w:tcBorders>
              <w:top w:val="single" w:sz="8" w:color="CCEEFF"/>
              <w:left w:val="single" w:sz="8" w:color="CCEEFF"/>
              <w:right w:val="single" w:sz="8" w:color="CCEEFF"/>
            </w:tcBorders>
            <w:gridSpan w:val="3"/>
            <w:shd w:val="clear" w:color="auto" w:fill="CCEEFF"/>
          </w:tcPr>
          <w:p>
            <w:pPr>
              <w:spacing w:after="0" w:line="20" w:lineRule="exact"/>
              <w:rPr>
                <w:sz w:val="1"/>
                <w:szCs w:val="1"/>
                <w:color w:val="auto"/>
              </w:rPr>
            </w:pPr>
          </w:p>
        </w:tc>
        <w:tc>
          <w:tcPr>
            <w:tcW w:w="10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left w:val="single" w:sz="8" w:color="CCEEFF"/>
              <w:bottom w:val="single" w:sz="8" w:color="auto"/>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left w:val="single" w:sz="8" w:color="CCEEFF"/>
              <w:right w:val="single" w:sz="8" w:color="CCEEFF"/>
            </w:tcBorders>
            <w:gridSpan w:val="2"/>
            <w:shd w:val="clear" w:color="auto" w:fill="CCEEFF"/>
          </w:tcPr>
          <w:p>
            <w:pPr>
              <w:spacing w:after="0" w:line="20" w:lineRule="exact"/>
              <w:rPr>
                <w:sz w:val="1"/>
                <w:szCs w:val="1"/>
                <w:color w:val="auto"/>
              </w:rPr>
            </w:pPr>
          </w:p>
        </w:tc>
        <w:tc>
          <w:tcPr>
            <w:tcW w:w="200" w:type="dxa"/>
            <w:vAlign w:val="bottom"/>
            <w:tcBorders>
              <w:top w:val="single" w:sz="8" w:color="CCEEFF"/>
            </w:tcBorders>
            <w:gridSpan w:val="4"/>
            <w:shd w:val="clear" w:color="auto" w:fill="CCEEFF"/>
          </w:tcPr>
          <w:p>
            <w:pPr>
              <w:spacing w:after="0" w:line="20" w:lineRule="exact"/>
              <w:rPr>
                <w:sz w:val="1"/>
                <w:szCs w:val="1"/>
                <w:color w:val="auto"/>
              </w:rPr>
            </w:pPr>
          </w:p>
        </w:tc>
        <w:tc>
          <w:tcPr>
            <w:tcW w:w="100" w:type="dxa"/>
            <w:vAlign w:val="bottom"/>
            <w:tcBorders>
              <w:top w:val="single" w:sz="8" w:color="CCEEFF"/>
              <w:bottom w:val="single" w:sz="8" w:color="auto"/>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left w:val="single" w:sz="8" w:color="CCEEFF"/>
              <w:bottom w:val="single" w:sz="8" w:color="auto"/>
            </w:tcBorders>
            <w:shd w:val="clear" w:color="auto" w:fill="CCEEFF"/>
          </w:tcPr>
          <w:p>
            <w:pPr>
              <w:spacing w:after="0" w:line="20" w:lineRule="exact"/>
              <w:rPr>
                <w:sz w:val="1"/>
                <w:szCs w:val="1"/>
                <w:color w:val="auto"/>
              </w:rPr>
            </w:pPr>
          </w:p>
        </w:tc>
        <w:tc>
          <w:tcPr>
            <w:tcW w:w="620" w:type="dxa"/>
            <w:vAlign w:val="bottom"/>
            <w:tcBorders>
              <w:top w:val="single" w:sz="8" w:color="CCEEFF"/>
              <w:left w:val="single" w:sz="8" w:color="CCEEFF"/>
              <w:right w:val="single" w:sz="8" w:color="CCEEFF"/>
            </w:tcBorders>
            <w:gridSpan w:val="5"/>
            <w:shd w:val="clear" w:color="auto" w:fill="CCEEFF"/>
          </w:tcPr>
          <w:p>
            <w:pPr>
              <w:spacing w:after="0" w:line="20" w:lineRule="exact"/>
              <w:rPr>
                <w:sz w:val="1"/>
                <w:szCs w:val="1"/>
                <w:color w:val="auto"/>
              </w:rPr>
            </w:pPr>
          </w:p>
        </w:tc>
        <w:tc>
          <w:tcPr>
            <w:tcW w:w="80" w:type="dxa"/>
            <w:vAlign w:val="bottom"/>
            <w:tcBorders>
              <w:top w:val="single" w:sz="8" w:color="auto"/>
              <w:bottom w:val="single" w:sz="8" w:color="auto"/>
            </w:tcBorders>
            <w:shd w:val="clear" w:color="auto" w:fill="CCEEFF"/>
          </w:tcPr>
          <w:p>
            <w:pPr>
              <w:spacing w:after="0" w:line="20" w:lineRule="exact"/>
              <w:rPr>
                <w:sz w:val="1"/>
                <w:szCs w:val="1"/>
                <w:color w:val="auto"/>
              </w:rPr>
            </w:pPr>
          </w:p>
        </w:tc>
        <w:tc>
          <w:tcPr>
            <w:tcW w:w="220" w:type="dxa"/>
            <w:vAlign w:val="bottom"/>
            <w:tcBorders>
              <w:top w:val="single" w:sz="8" w:color="CCEEFF"/>
              <w:left w:val="single" w:sz="8" w:color="CCEEFF"/>
            </w:tcBorders>
            <w:gridSpan w:val="2"/>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auto"/>
              <w:left w:val="single" w:sz="8" w:color="CCEEFF"/>
              <w:bottom w:val="single" w:sz="8" w:color="auto"/>
            </w:tcBorders>
            <w:shd w:val="clear" w:color="auto" w:fill="CCEEFF"/>
          </w:tcPr>
          <w:p>
            <w:pPr>
              <w:spacing w:after="0" w:line="20" w:lineRule="exact"/>
              <w:rPr>
                <w:sz w:val="1"/>
                <w:szCs w:val="1"/>
                <w:color w:val="auto"/>
              </w:rPr>
            </w:pPr>
          </w:p>
        </w:tc>
        <w:tc>
          <w:tcPr>
            <w:tcW w:w="620" w:type="dxa"/>
            <w:vAlign w:val="bottom"/>
            <w:tcBorders>
              <w:top w:val="single" w:sz="8" w:color="CCEEFF"/>
              <w:left w:val="single" w:sz="8" w:color="CCEEFF"/>
              <w:right w:val="single" w:sz="8" w:color="CCEEFF"/>
            </w:tcBorders>
            <w:gridSpan w:val="6"/>
            <w:shd w:val="clear" w:color="auto" w:fill="CCEEFF"/>
          </w:tcPr>
          <w:p>
            <w:pPr>
              <w:spacing w:after="0" w:line="20" w:lineRule="exact"/>
              <w:rPr>
                <w:sz w:val="1"/>
                <w:szCs w:val="1"/>
                <w:color w:val="auto"/>
              </w:rPr>
            </w:pPr>
          </w:p>
        </w:tc>
        <w:tc>
          <w:tcPr>
            <w:tcW w:w="80" w:type="dxa"/>
            <w:vAlign w:val="bottom"/>
            <w:tcBorders>
              <w:top w:val="single" w:sz="8" w:color="auto"/>
              <w:bottom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left w:val="single" w:sz="8" w:color="CCEEFF"/>
              <w:right w:val="single" w:sz="8" w:color="CCEEFF"/>
            </w:tcBorders>
            <w:gridSpan w:val="2"/>
            <w:shd w:val="clear" w:color="auto" w:fill="CCEEFF"/>
          </w:tcPr>
          <w:p>
            <w:pPr>
              <w:spacing w:after="0" w:line="20" w:lineRule="exact"/>
              <w:rPr>
                <w:sz w:val="1"/>
                <w:szCs w:val="1"/>
                <w:color w:val="auto"/>
              </w:rPr>
            </w:pPr>
          </w:p>
        </w:tc>
        <w:tc>
          <w:tcPr>
            <w:tcW w:w="100" w:type="dxa"/>
            <w:vAlign w:val="bottom"/>
            <w:tcBorders>
              <w:top w:val="single" w:sz="8" w:color="auto"/>
              <w:right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right w:val="single" w:sz="8" w:color="CCEEFF"/>
            </w:tcBorders>
            <w:gridSpan w:val="5"/>
            <w:shd w:val="clear" w:color="auto" w:fill="CCEEFF"/>
          </w:tcPr>
          <w:p>
            <w:pPr>
              <w:spacing w:after="0" w:line="20" w:lineRule="exact"/>
              <w:rPr>
                <w:sz w:val="1"/>
                <w:szCs w:val="1"/>
                <w:color w:val="auto"/>
              </w:rPr>
            </w:pPr>
          </w:p>
        </w:tc>
        <w:tc>
          <w:tcPr>
            <w:tcW w:w="100" w:type="dxa"/>
            <w:vAlign w:val="bottom"/>
            <w:tcBorders>
              <w:top w:val="single" w:sz="8" w:color="auto"/>
              <w:bottom w:val="single" w:sz="8" w:color="auto"/>
            </w:tcBorders>
            <w:shd w:val="clear" w:color="auto" w:fill="CCEEFF"/>
          </w:tcPr>
          <w:p>
            <w:pPr>
              <w:spacing w:after="0" w:line="20" w:lineRule="exact"/>
              <w:rPr>
                <w:sz w:val="1"/>
                <w:szCs w:val="1"/>
                <w:color w:val="auto"/>
              </w:rPr>
            </w:pPr>
          </w:p>
        </w:tc>
        <w:tc>
          <w:tcPr>
            <w:tcW w:w="240" w:type="dxa"/>
            <w:vAlign w:val="bottom"/>
            <w:tcBorders>
              <w:top w:val="single" w:sz="8" w:color="CCEEFF"/>
              <w:left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60" w:type="dxa"/>
            <w:vAlign w:val="bottom"/>
            <w:tcBorders>
              <w:top w:val="single" w:sz="8" w:color="CCEEFF"/>
              <w:right w:val="single" w:sz="8" w:color="CCEEFF"/>
            </w:tcBorders>
            <w:gridSpan w:val="2"/>
            <w:shd w:val="clear" w:color="auto" w:fill="CCEEFF"/>
          </w:tcPr>
          <w:p>
            <w:pPr>
              <w:spacing w:after="0" w:line="20" w:lineRule="exact"/>
              <w:rPr>
                <w:sz w:val="1"/>
                <w:szCs w:val="1"/>
                <w:color w:val="auto"/>
              </w:rPr>
            </w:pPr>
          </w:p>
        </w:tc>
        <w:tc>
          <w:tcPr>
            <w:tcW w:w="240" w:type="dxa"/>
            <w:vAlign w:val="bottom"/>
            <w:tcBorders>
              <w:top w:val="single" w:sz="8" w:color="CCEEFF"/>
              <w:right w:val="single" w:sz="8" w:color="CCEEFF"/>
            </w:tcBorders>
            <w:gridSpan w:val="2"/>
            <w:shd w:val="clear" w:color="auto" w:fill="CCEEFF"/>
          </w:tcPr>
          <w:p>
            <w:pPr>
              <w:spacing w:after="0" w:line="20" w:lineRule="exact"/>
              <w:rPr>
                <w:sz w:val="1"/>
                <w:szCs w:val="1"/>
                <w:color w:val="auto"/>
              </w:rPr>
            </w:pPr>
          </w:p>
        </w:tc>
        <w:tc>
          <w:tcPr>
            <w:tcW w:w="100" w:type="dxa"/>
            <w:vAlign w:val="bottom"/>
            <w:tcBorders>
              <w:top w:val="single" w:sz="8" w:color="CCEEFF"/>
            </w:tcBorders>
            <w:gridSpan w:val="2"/>
            <w:shd w:val="clear" w:color="auto" w:fill="CCEEFF"/>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60" w:type="dxa"/>
            <w:vAlign w:val="bottom"/>
          </w:tcPr>
          <w:p>
            <w:pPr>
              <w:spacing w:after="0"/>
              <w:rPr>
                <w:sz w:val="13"/>
                <w:szCs w:val="13"/>
                <w:color w:val="auto"/>
              </w:rPr>
            </w:pPr>
          </w:p>
        </w:tc>
        <w:tc>
          <w:tcPr>
            <w:tcW w:w="2280" w:type="dxa"/>
            <w:vAlign w:val="bottom"/>
            <w:gridSpan w:val="4"/>
          </w:tcPr>
          <w:p>
            <w:pPr>
              <w:ind w:left="20"/>
              <w:spacing w:after="0" w:line="156" w:lineRule="exact"/>
              <w:rPr>
                <w:sz w:val="20"/>
                <w:szCs w:val="20"/>
                <w:color w:val="auto"/>
              </w:rPr>
            </w:pPr>
            <w:r>
              <w:rPr>
                <w:rFonts w:ascii="Arial" w:cs="Arial" w:eastAsia="Arial" w:hAnsi="Arial"/>
                <w:sz w:val="18"/>
                <w:szCs w:val="18"/>
                <w:b w:val="1"/>
                <w:bCs w:val="1"/>
                <w:color w:val="auto"/>
              </w:rPr>
              <w:t>Capital Expenditures</w:t>
            </w:r>
          </w:p>
        </w:tc>
        <w:tc>
          <w:tcPr>
            <w:tcW w:w="480" w:type="dxa"/>
            <w:vAlign w:val="bottom"/>
            <w:gridSpan w:val="2"/>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gridSpan w:val="2"/>
          </w:tcPr>
          <w:p>
            <w:pPr>
              <w:jc w:val="right"/>
              <w:spacing w:after="0" w:line="156" w:lineRule="exact"/>
              <w:rPr>
                <w:sz w:val="20"/>
                <w:szCs w:val="20"/>
                <w:color w:val="auto"/>
              </w:rPr>
            </w:pPr>
            <w:r>
              <w:rPr>
                <w:rFonts w:ascii="Arial" w:cs="Arial" w:eastAsia="Arial" w:hAnsi="Arial"/>
                <w:sz w:val="15"/>
                <w:szCs w:val="15"/>
                <w:b w:val="1"/>
                <w:bCs w:val="1"/>
                <w:color w:val="auto"/>
                <w:w w:val="71"/>
              </w:rPr>
              <w:t>$</w:t>
            </w:r>
          </w:p>
        </w:tc>
        <w:tc>
          <w:tcPr>
            <w:tcW w:w="20" w:type="dxa"/>
            <w:vAlign w:val="bottom"/>
          </w:tcPr>
          <w:p>
            <w:pPr>
              <w:spacing w:after="0"/>
              <w:rPr>
                <w:sz w:val="13"/>
                <w:szCs w:val="13"/>
                <w:color w:val="auto"/>
              </w:rPr>
            </w:pPr>
          </w:p>
        </w:tc>
        <w:tc>
          <w:tcPr>
            <w:tcW w:w="740" w:type="dxa"/>
            <w:vAlign w:val="bottom"/>
            <w:gridSpan w:val="3"/>
          </w:tcPr>
          <w:p>
            <w:pPr>
              <w:jc w:val="right"/>
              <w:spacing w:after="0" w:line="156" w:lineRule="exact"/>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3"/>
                <w:szCs w:val="13"/>
                <w:color w:val="auto"/>
              </w:rPr>
            </w:pPr>
          </w:p>
        </w:tc>
        <w:tc>
          <w:tcPr>
            <w:tcW w:w="80" w:type="dxa"/>
            <w:vAlign w:val="bottom"/>
          </w:tcPr>
          <w:p>
            <w:pPr>
              <w:jc w:val="right"/>
              <w:spacing w:after="0" w:line="156" w:lineRule="exact"/>
              <w:rPr>
                <w:sz w:val="20"/>
                <w:szCs w:val="20"/>
                <w:color w:val="auto"/>
              </w:rPr>
            </w:pPr>
            <w:r>
              <w:rPr>
                <w:rFonts w:ascii="Arial" w:cs="Arial" w:eastAsia="Arial" w:hAnsi="Arial"/>
                <w:sz w:val="15"/>
                <w:szCs w:val="15"/>
                <w:b w:val="1"/>
                <w:bCs w:val="1"/>
                <w:color w:val="auto"/>
                <w:w w:val="71"/>
              </w:rPr>
              <w:t>$</w:t>
            </w:r>
          </w:p>
        </w:tc>
        <w:tc>
          <w:tcPr>
            <w:tcW w:w="40" w:type="dxa"/>
            <w:vAlign w:val="bottom"/>
          </w:tcPr>
          <w:p>
            <w:pPr>
              <w:spacing w:after="0"/>
              <w:rPr>
                <w:sz w:val="13"/>
                <w:szCs w:val="13"/>
                <w:color w:val="auto"/>
              </w:rPr>
            </w:pPr>
          </w:p>
        </w:tc>
        <w:tc>
          <w:tcPr>
            <w:tcW w:w="760" w:type="dxa"/>
            <w:vAlign w:val="bottom"/>
            <w:gridSpan w:val="4"/>
          </w:tcPr>
          <w:p>
            <w:pPr>
              <w:jc w:val="right"/>
              <w:ind w:right="40"/>
              <w:spacing w:after="0" w:line="156" w:lineRule="exact"/>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gridSpan w:val="6"/>
          </w:tcPr>
          <w:p>
            <w:pPr>
              <w:jc w:val="right"/>
              <w:spacing w:after="0" w:line="156" w:lineRule="exact"/>
              <w:rPr>
                <w:sz w:val="20"/>
                <w:szCs w:val="20"/>
                <w:color w:val="auto"/>
              </w:rPr>
            </w:pPr>
            <w:r>
              <w:rPr>
                <w:rFonts w:ascii="Arial" w:cs="Arial" w:eastAsia="Arial" w:hAnsi="Arial"/>
                <w:sz w:val="18"/>
                <w:szCs w:val="18"/>
                <w:b w:val="1"/>
                <w:bCs w:val="1"/>
                <w:color w:val="auto"/>
              </w:rPr>
              <w:t>(1</w:t>
            </w:r>
          </w:p>
        </w:tc>
        <w:tc>
          <w:tcPr>
            <w:tcW w:w="100" w:type="dxa"/>
            <w:vAlign w:val="bottom"/>
          </w:tcPr>
          <w:p>
            <w:pPr>
              <w:jc w:val="right"/>
              <w:spacing w:after="0" w:line="156" w:lineRule="exact"/>
              <w:rPr>
                <w:sz w:val="20"/>
                <w:szCs w:val="20"/>
                <w:color w:val="auto"/>
              </w:rPr>
            </w:pPr>
            <w:r>
              <w:rPr>
                <w:rFonts w:ascii="Arial" w:cs="Arial" w:eastAsia="Arial" w:hAnsi="Arial"/>
                <w:sz w:val="18"/>
                <w:szCs w:val="18"/>
                <w:color w:val="auto"/>
                <w:w w:val="99"/>
              </w:rPr>
              <w:t>)</w:t>
            </w:r>
          </w:p>
        </w:tc>
        <w:tc>
          <w:tcPr>
            <w:tcW w:w="160" w:type="dxa"/>
            <w:vAlign w:val="bottom"/>
            <w:gridSpan w:val="2"/>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80" w:type="dxa"/>
            <w:vAlign w:val="bottom"/>
          </w:tcPr>
          <w:p>
            <w:pPr>
              <w:spacing w:after="0"/>
              <w:rPr>
                <w:sz w:val="13"/>
                <w:szCs w:val="13"/>
                <w:color w:val="auto"/>
              </w:rPr>
            </w:pPr>
          </w:p>
        </w:tc>
        <w:tc>
          <w:tcPr>
            <w:tcW w:w="680" w:type="dxa"/>
            <w:vAlign w:val="bottom"/>
            <w:gridSpan w:val="7"/>
          </w:tcPr>
          <w:p>
            <w:pPr>
              <w:jc w:val="right"/>
              <w:ind w:right="20"/>
              <w:spacing w:after="0" w:line="156" w:lineRule="exact"/>
              <w:rPr>
                <w:sz w:val="20"/>
                <w:szCs w:val="20"/>
                <w:color w:val="auto"/>
              </w:rPr>
            </w:pPr>
            <w:r>
              <w:rPr>
                <w:rFonts w:ascii="Arial" w:cs="Arial" w:eastAsia="Arial" w:hAnsi="Arial"/>
                <w:sz w:val="18"/>
                <w:szCs w:val="18"/>
                <w:b w:val="1"/>
                <w:bCs w:val="1"/>
                <w:color w:val="auto"/>
              </w:rPr>
              <w:t>(1)</w:t>
            </w:r>
          </w:p>
        </w:tc>
        <w:tc>
          <w:tcPr>
            <w:tcW w:w="160" w:type="dxa"/>
            <w:vAlign w:val="bottom"/>
            <w:gridSpan w:val="2"/>
          </w:tcPr>
          <w:p>
            <w:pPr>
              <w:spacing w:after="0"/>
              <w:rPr>
                <w:sz w:val="13"/>
                <w:szCs w:val="13"/>
                <w:color w:val="auto"/>
              </w:rPr>
            </w:pPr>
          </w:p>
        </w:tc>
        <w:tc>
          <w:tcPr>
            <w:tcW w:w="80" w:type="dxa"/>
            <w:vAlign w:val="bottom"/>
          </w:tcPr>
          <w:p>
            <w:pPr>
              <w:spacing w:after="0"/>
              <w:rPr>
                <w:sz w:val="20"/>
                <w:szCs w:val="20"/>
                <w:color w:val="auto"/>
              </w:rPr>
            </w:pPr>
            <w:r>
              <w:rPr>
                <w:rFonts w:ascii="Arial" w:cs="Arial" w:eastAsia="Arial" w:hAnsi="Arial"/>
                <w:sz w:val="10"/>
                <w:szCs w:val="10"/>
                <w:b w:val="1"/>
                <w:bCs w:val="1"/>
                <w:color w:val="auto"/>
                <w:w w:val="71"/>
              </w:rPr>
              <w:t>$</w:t>
            </w:r>
          </w:p>
        </w:tc>
        <w:tc>
          <w:tcPr>
            <w:tcW w:w="700" w:type="dxa"/>
            <w:vAlign w:val="bottom"/>
            <w:gridSpan w:val="6"/>
          </w:tcPr>
          <w:p>
            <w:pPr>
              <w:jc w:val="right"/>
              <w:spacing w:after="0" w:line="156" w:lineRule="exact"/>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00" w:type="dxa"/>
            <w:vAlign w:val="bottom"/>
          </w:tcPr>
          <w:p>
            <w:pPr>
              <w:spacing w:after="0"/>
              <w:rPr>
                <w:sz w:val="13"/>
                <w:szCs w:val="13"/>
                <w:color w:val="auto"/>
              </w:rPr>
            </w:pPr>
          </w:p>
        </w:tc>
        <w:tc>
          <w:tcPr>
            <w:tcW w:w="600" w:type="dxa"/>
            <w:vAlign w:val="bottom"/>
            <w:gridSpan w:val="6"/>
          </w:tcPr>
          <w:p>
            <w:pPr>
              <w:jc w:val="right"/>
              <w:spacing w:after="0" w:line="156" w:lineRule="exact"/>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3"/>
                <w:szCs w:val="13"/>
                <w:color w:val="auto"/>
              </w:rPr>
            </w:pPr>
          </w:p>
        </w:tc>
        <w:tc>
          <w:tcPr>
            <w:tcW w:w="260" w:type="dxa"/>
            <w:vAlign w:val="bottom"/>
            <w:gridSpan w:val="2"/>
          </w:tcPr>
          <w:p>
            <w:pPr>
              <w:jc w:val="right"/>
              <w:spacing w:after="0" w:line="156" w:lineRule="exact"/>
              <w:rPr>
                <w:sz w:val="20"/>
                <w:szCs w:val="20"/>
                <w:color w:val="auto"/>
              </w:rPr>
            </w:pPr>
            <w:r>
              <w:rPr>
                <w:rFonts w:ascii="Arial" w:cs="Arial" w:eastAsia="Arial" w:hAnsi="Arial"/>
                <w:sz w:val="18"/>
                <w:szCs w:val="18"/>
                <w:b w:val="1"/>
                <w:bCs w:val="1"/>
                <w:color w:val="auto"/>
              </w:rPr>
              <w:t>$</w:t>
            </w:r>
          </w:p>
        </w:tc>
        <w:tc>
          <w:tcPr>
            <w:tcW w:w="680" w:type="dxa"/>
            <w:vAlign w:val="bottom"/>
            <w:gridSpan w:val="6"/>
          </w:tcPr>
          <w:p>
            <w:pPr>
              <w:jc w:val="right"/>
              <w:spacing w:after="0" w:line="156" w:lineRule="exact"/>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13"/>
                <w:szCs w:val="13"/>
                <w:color w:val="auto"/>
              </w:rPr>
            </w:pPr>
          </w:p>
        </w:tc>
        <w:tc>
          <w:tcPr>
            <w:tcW w:w="80" w:type="dxa"/>
            <w:vAlign w:val="bottom"/>
          </w:tcPr>
          <w:p>
            <w:pPr>
              <w:jc w:val="right"/>
              <w:spacing w:after="0" w:line="156" w:lineRule="exact"/>
              <w:rPr>
                <w:sz w:val="20"/>
                <w:szCs w:val="20"/>
                <w:color w:val="auto"/>
              </w:rPr>
            </w:pPr>
            <w:r>
              <w:rPr>
                <w:rFonts w:ascii="Arial" w:cs="Arial" w:eastAsia="Arial" w:hAnsi="Arial"/>
                <w:sz w:val="15"/>
                <w:szCs w:val="15"/>
                <w:b w:val="1"/>
                <w:bCs w:val="1"/>
                <w:color w:val="auto"/>
                <w:w w:val="71"/>
              </w:rPr>
              <w:t>$</w:t>
            </w:r>
          </w:p>
        </w:tc>
        <w:tc>
          <w:tcPr>
            <w:tcW w:w="700" w:type="dxa"/>
            <w:vAlign w:val="bottom"/>
            <w:gridSpan w:val="4"/>
          </w:tcPr>
          <w:p>
            <w:pPr>
              <w:jc w:val="right"/>
              <w:spacing w:after="0" w:line="156" w:lineRule="exact"/>
              <w:rPr>
                <w:sz w:val="20"/>
                <w:szCs w:val="20"/>
                <w:color w:val="auto"/>
              </w:rPr>
            </w:pPr>
            <w:r>
              <w:rPr>
                <w:rFonts w:ascii="Arial" w:cs="Arial" w:eastAsia="Arial" w:hAnsi="Arial"/>
                <w:sz w:val="18"/>
                <w:szCs w:val="18"/>
                <w:b w:val="1"/>
                <w:bCs w:val="1"/>
                <w:color w:val="auto"/>
              </w:rPr>
              <w:t>(1</w:t>
            </w:r>
          </w:p>
        </w:tc>
        <w:tc>
          <w:tcPr>
            <w:tcW w:w="4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0" w:type="dxa"/>
            <w:vAlign w:val="bottom"/>
            <w:tcBorders>
              <w:bottom w:val="single" w:sz="8" w:color="CCEEFF"/>
            </w:tcBorders>
          </w:tcPr>
          <w:p>
            <w:pPr>
              <w:spacing w:after="0" w:line="20" w:lineRule="exact"/>
              <w:rPr>
                <w:sz w:val="1"/>
                <w:szCs w:val="1"/>
                <w:color w:val="auto"/>
              </w:rPr>
            </w:pPr>
          </w:p>
        </w:tc>
        <w:tc>
          <w:tcPr>
            <w:tcW w:w="1660" w:type="dxa"/>
            <w:vAlign w:val="bottom"/>
            <w:tcBorders>
              <w:top w:val="single" w:sz="8" w:color="auto"/>
              <w:bottom w:val="single" w:sz="8" w:color="auto"/>
            </w:tcBorders>
            <w:gridSpan w:val="3"/>
          </w:tcPr>
          <w:p>
            <w:pPr>
              <w:spacing w:after="0" w:line="20" w:lineRule="exact"/>
              <w:rPr>
                <w:sz w:val="1"/>
                <w:szCs w:val="1"/>
                <w:color w:val="auto"/>
              </w:rPr>
            </w:pPr>
          </w:p>
        </w:tc>
        <w:tc>
          <w:tcPr>
            <w:tcW w:w="1460" w:type="dxa"/>
            <w:vAlign w:val="bottom"/>
            <w:tcBorders>
              <w:bottom w:val="single" w:sz="8" w:color="CCEEFF"/>
            </w:tcBorders>
            <w:gridSpan w:val="4"/>
          </w:tcPr>
          <w:p>
            <w:pPr>
              <w:spacing w:after="0" w:line="20" w:lineRule="exact"/>
              <w:rPr>
                <w:sz w:val="1"/>
                <w:szCs w:val="1"/>
                <w:color w:val="auto"/>
              </w:rPr>
            </w:pPr>
          </w:p>
        </w:tc>
        <w:tc>
          <w:tcPr>
            <w:tcW w:w="8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580" w:type="dxa"/>
            <w:vAlign w:val="bottom"/>
            <w:tcBorders>
              <w:bottom w:val="single" w:sz="8" w:color="CCEEFF"/>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bottom w:val="single" w:sz="8" w:color="CCEEFF"/>
            </w:tcBorders>
            <w:gridSpan w:val="3"/>
          </w:tcPr>
          <w:p>
            <w:pPr>
              <w:spacing w:after="0" w:line="20" w:lineRule="exact"/>
              <w:rPr>
                <w:sz w:val="1"/>
                <w:szCs w:val="1"/>
                <w:color w:val="auto"/>
              </w:rPr>
            </w:pPr>
          </w:p>
        </w:tc>
        <w:tc>
          <w:tcPr>
            <w:tcW w:w="1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bottom w:val="single" w:sz="8" w:color="CCEEFF"/>
            </w:tcBorders>
            <w:gridSpan w:val="4"/>
          </w:tcPr>
          <w:p>
            <w:pPr>
              <w:spacing w:after="0" w:line="20" w:lineRule="exact"/>
              <w:rPr>
                <w:sz w:val="1"/>
                <w:szCs w:val="1"/>
                <w:color w:val="auto"/>
              </w:rPr>
            </w:pPr>
          </w:p>
        </w:tc>
        <w:tc>
          <w:tcPr>
            <w:tcW w:w="14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bottom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bottom w:val="single" w:sz="8" w:color="CCEEFF"/>
            </w:tcBorders>
            <w:gridSpan w:val="4"/>
          </w:tcPr>
          <w:p>
            <w:pPr>
              <w:spacing w:after="0" w:line="20" w:lineRule="exact"/>
              <w:rPr>
                <w:sz w:val="1"/>
                <w:szCs w:val="1"/>
                <w:color w:val="auto"/>
              </w:rPr>
            </w:pPr>
          </w:p>
        </w:tc>
        <w:tc>
          <w:tcPr>
            <w:tcW w:w="220" w:type="dxa"/>
            <w:vAlign w:val="bottom"/>
            <w:tcBorders>
              <w:top w:val="single" w:sz="8" w:color="auto"/>
              <w:bottom w:val="single" w:sz="8" w:color="auto"/>
            </w:tcBorders>
            <w:gridSpan w:val="4"/>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bottom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gridSpan w:val="3"/>
          </w:tcPr>
          <w:p>
            <w:pPr>
              <w:spacing w:after="0" w:line="20" w:lineRule="exact"/>
              <w:rPr>
                <w:sz w:val="1"/>
                <w:szCs w:val="1"/>
                <w:color w:val="auto"/>
              </w:rPr>
            </w:pPr>
          </w:p>
        </w:tc>
        <w:tc>
          <w:tcPr>
            <w:tcW w:w="220" w:type="dxa"/>
            <w:vAlign w:val="bottom"/>
            <w:tcBorders>
              <w:bottom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bottom w:val="single" w:sz="8" w:color="CCEEFF"/>
            </w:tcBorders>
            <w:gridSpan w:val="5"/>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gridSpan w:val="2"/>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520" w:type="dxa"/>
            <w:vAlign w:val="bottom"/>
            <w:tcBorders>
              <w:bottom w:val="single" w:sz="8" w:color="CCEEFF"/>
            </w:tcBorders>
            <w:gridSpan w:val="4"/>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bottom w:val="single" w:sz="8" w:color="CCEEFF"/>
            </w:tcBorders>
            <w:gridSpan w:val="3"/>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160" w:type="dxa"/>
            <w:vAlign w:val="bottom"/>
            <w:shd w:val="clear" w:color="auto" w:fill="CCEEFF"/>
          </w:tcPr>
          <w:p>
            <w:pPr>
              <w:spacing w:after="0"/>
              <w:rPr>
                <w:sz w:val="15"/>
                <w:szCs w:val="15"/>
                <w:color w:val="auto"/>
              </w:rPr>
            </w:pPr>
          </w:p>
        </w:tc>
        <w:tc>
          <w:tcPr>
            <w:tcW w:w="2440" w:type="dxa"/>
            <w:vAlign w:val="bottom"/>
            <w:gridSpan w:val="5"/>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w w:val="90"/>
              </w:rPr>
              <w:t>Change in Net Working Capital</w:t>
            </w:r>
          </w:p>
        </w:tc>
        <w:tc>
          <w:tcPr>
            <w:tcW w:w="320" w:type="dxa"/>
            <w:vAlign w:val="bottom"/>
            <w:tcBorders>
              <w:left w:val="single" w:sz="8" w:color="CCEEFF"/>
            </w:tcBorders>
            <w:shd w:val="clear" w:color="auto" w:fill="CCEEFF"/>
          </w:tcPr>
          <w:p>
            <w:pPr>
              <w:spacing w:after="0"/>
              <w:rPr>
                <w:sz w:val="15"/>
                <w:szCs w:val="15"/>
                <w:color w:val="auto"/>
              </w:rPr>
            </w:pPr>
          </w:p>
        </w:tc>
        <w:tc>
          <w:tcPr>
            <w:tcW w:w="360" w:type="dxa"/>
            <w:vAlign w:val="bottom"/>
            <w:tcBorders>
              <w:right w:val="single" w:sz="8" w:color="CCEEFF"/>
            </w:tcBorders>
            <w:shd w:val="clear" w:color="auto" w:fill="CCEEFF"/>
          </w:tcPr>
          <w:p>
            <w:pPr>
              <w:spacing w:after="0"/>
              <w:rPr>
                <w:sz w:val="15"/>
                <w:szCs w:val="15"/>
                <w:color w:val="auto"/>
              </w:rPr>
            </w:pPr>
          </w:p>
        </w:tc>
        <w:tc>
          <w:tcPr>
            <w:tcW w:w="80" w:type="dxa"/>
            <w:vAlign w:val="bottom"/>
            <w:tcBorders>
              <w:left w:val="single" w:sz="8" w:color="CCEEFF"/>
            </w:tcBorders>
            <w:gridSpan w:val="2"/>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w w:val="71"/>
              </w:rPr>
              <w:t>$</w:t>
            </w:r>
          </w:p>
        </w:tc>
        <w:tc>
          <w:tcPr>
            <w:tcW w:w="20" w:type="dxa"/>
            <w:vAlign w:val="bottom"/>
            <w:shd w:val="clear" w:color="auto" w:fill="CCEEFF"/>
          </w:tcPr>
          <w:p>
            <w:pPr>
              <w:spacing w:after="0"/>
              <w:rPr>
                <w:sz w:val="15"/>
                <w:szCs w:val="15"/>
                <w:color w:val="auto"/>
              </w:rPr>
            </w:pPr>
          </w:p>
        </w:tc>
        <w:tc>
          <w:tcPr>
            <w:tcW w:w="740" w:type="dxa"/>
            <w:vAlign w:val="bottom"/>
            <w:tcBorders>
              <w:right w:val="single" w:sz="8" w:color="CCEEFF"/>
            </w:tcBorders>
            <w:gridSpan w:val="3"/>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rPr>
              <w:t>(10)</w:t>
            </w:r>
          </w:p>
        </w:tc>
        <w:tc>
          <w:tcPr>
            <w:tcW w:w="160" w:type="dxa"/>
            <w:vAlign w:val="bottom"/>
            <w:tcBorders>
              <w:left w:val="single" w:sz="8" w:color="CCEEFF"/>
            </w:tcBorders>
            <w:shd w:val="clear" w:color="auto" w:fill="CCEEFF"/>
          </w:tcPr>
          <w:p>
            <w:pPr>
              <w:spacing w:after="0"/>
              <w:rPr>
                <w:sz w:val="15"/>
                <w:szCs w:val="15"/>
                <w:color w:val="auto"/>
              </w:rPr>
            </w:pPr>
          </w:p>
        </w:tc>
        <w:tc>
          <w:tcPr>
            <w:tcW w:w="80" w:type="dxa"/>
            <w:vAlign w:val="bottom"/>
            <w:tcBorders>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w w:val="71"/>
              </w:rPr>
              <w:t>$</w:t>
            </w:r>
          </w:p>
        </w:tc>
        <w:tc>
          <w:tcPr>
            <w:tcW w:w="40" w:type="dxa"/>
            <w:vAlign w:val="bottom"/>
            <w:shd w:val="clear" w:color="auto" w:fill="CCEEFF"/>
          </w:tcPr>
          <w:p>
            <w:pPr>
              <w:spacing w:after="0"/>
              <w:rPr>
                <w:sz w:val="15"/>
                <w:szCs w:val="15"/>
                <w:color w:val="auto"/>
              </w:rPr>
            </w:pPr>
          </w:p>
        </w:tc>
        <w:tc>
          <w:tcPr>
            <w:tcW w:w="580" w:type="dxa"/>
            <w:vAlign w:val="bottom"/>
            <w:tcBorders>
              <w:right w:val="single" w:sz="8" w:color="CCEEFF"/>
            </w:tcBorders>
            <w:gridSpan w:val="2"/>
            <w:shd w:val="clear" w:color="auto" w:fill="CCEEFF"/>
          </w:tcPr>
          <w:p>
            <w:pPr>
              <w:spacing w:after="0"/>
              <w:rPr>
                <w:sz w:val="15"/>
                <w:szCs w:val="15"/>
                <w:color w:val="auto"/>
              </w:rPr>
            </w:pPr>
          </w:p>
        </w:tc>
        <w:tc>
          <w:tcPr>
            <w:tcW w:w="180" w:type="dxa"/>
            <w:vAlign w:val="bottom"/>
            <w:tcBorders>
              <w:left w:val="single" w:sz="8" w:color="CCEEFF"/>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7"/>
                <w:szCs w:val="7"/>
                <w:b w:val="1"/>
                <w:bCs w:val="1"/>
                <w:color w:val="auto"/>
                <w:w w:val="76"/>
              </w:rPr>
              <w:t>81</w:t>
            </w:r>
          </w:p>
        </w:tc>
        <w:tc>
          <w:tcPr>
            <w:tcW w:w="160" w:type="dxa"/>
            <w:vAlign w:val="bottom"/>
            <w:tcBorders>
              <w:right w:val="single" w:sz="8" w:color="CCEEFF"/>
            </w:tcBorders>
            <w:shd w:val="clear" w:color="auto" w:fill="CCEEFF"/>
          </w:tcPr>
          <w:p>
            <w:pPr>
              <w:spacing w:after="0"/>
              <w:rPr>
                <w:sz w:val="15"/>
                <w:szCs w:val="15"/>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left w:val="single" w:sz="8" w:color="CCEEFF"/>
              <w:right w:val="single" w:sz="8" w:color="CCEEFF"/>
            </w:tcBorders>
            <w:gridSpan w:val="6"/>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rPr>
              <w:t>182</w:t>
            </w:r>
          </w:p>
        </w:tc>
        <w:tc>
          <w:tcPr>
            <w:tcW w:w="100" w:type="dxa"/>
            <w:vAlign w:val="bottom"/>
            <w:tcBorders>
              <w:left w:val="single" w:sz="8" w:color="CCEEFF"/>
              <w:right w:val="single" w:sz="8" w:color="CCEEFF"/>
            </w:tcBorders>
            <w:shd w:val="clear" w:color="auto" w:fill="CCEEFF"/>
          </w:tcPr>
          <w:p>
            <w:pPr>
              <w:spacing w:after="0"/>
              <w:rPr>
                <w:sz w:val="15"/>
                <w:szCs w:val="15"/>
                <w:color w:val="auto"/>
              </w:rPr>
            </w:pPr>
          </w:p>
        </w:tc>
        <w:tc>
          <w:tcPr>
            <w:tcW w:w="160" w:type="dxa"/>
            <w:vAlign w:val="bottom"/>
            <w:gridSpan w:val="2"/>
            <w:shd w:val="clear" w:color="auto" w:fill="CCEEFF"/>
          </w:tcPr>
          <w:p>
            <w:pPr>
              <w:spacing w:after="0"/>
              <w:rPr>
                <w:sz w:val="15"/>
                <w:szCs w:val="15"/>
                <w:color w:val="auto"/>
              </w:rPr>
            </w:pPr>
          </w:p>
        </w:tc>
        <w:tc>
          <w:tcPr>
            <w:tcW w:w="80" w:type="dxa"/>
            <w:vAlign w:val="bottom"/>
            <w:tcBorders>
              <w:left w:val="single" w:sz="8" w:color="CCEEFF"/>
              <w:right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80" w:type="dxa"/>
            <w:vAlign w:val="bottom"/>
            <w:tcBorders>
              <w:left w:val="single" w:sz="8" w:color="CCEEFF"/>
            </w:tcBorders>
            <w:shd w:val="clear" w:color="auto" w:fill="CCEEFF"/>
          </w:tcPr>
          <w:p>
            <w:pPr>
              <w:spacing w:after="0"/>
              <w:rPr>
                <w:sz w:val="15"/>
                <w:szCs w:val="15"/>
                <w:color w:val="auto"/>
              </w:rPr>
            </w:pPr>
          </w:p>
        </w:tc>
        <w:tc>
          <w:tcPr>
            <w:tcW w:w="420" w:type="dxa"/>
            <w:vAlign w:val="bottom"/>
            <w:gridSpan w:val="2"/>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tcBorders>
              <w:right w:val="single" w:sz="8" w:color="CCEEFF"/>
            </w:tcBorders>
            <w:gridSpan w:val="3"/>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w w:val="71"/>
              </w:rPr>
              <w:t>27</w:t>
            </w:r>
          </w:p>
        </w:tc>
        <w:tc>
          <w:tcPr>
            <w:tcW w:w="80" w:type="dxa"/>
            <w:vAlign w:val="bottom"/>
            <w:tcBorders>
              <w:left w:val="single" w:sz="8" w:color="CCEEFF"/>
              <w:right w:val="single" w:sz="8" w:color="CCEEFF"/>
            </w:tcBorders>
            <w:shd w:val="clear" w:color="auto" w:fill="CCEEFF"/>
          </w:tcPr>
          <w:p>
            <w:pPr>
              <w:spacing w:after="0"/>
              <w:rPr>
                <w:sz w:val="15"/>
                <w:szCs w:val="15"/>
                <w:color w:val="auto"/>
              </w:rPr>
            </w:pPr>
          </w:p>
        </w:tc>
        <w:tc>
          <w:tcPr>
            <w:tcW w:w="160" w:type="dxa"/>
            <w:vAlign w:val="bottom"/>
            <w:gridSpan w:val="2"/>
            <w:shd w:val="clear" w:color="auto" w:fill="CCEEFF"/>
          </w:tcPr>
          <w:p>
            <w:pPr>
              <w:spacing w:after="0"/>
              <w:rPr>
                <w:sz w:val="15"/>
                <w:szCs w:val="15"/>
                <w:color w:val="auto"/>
              </w:rPr>
            </w:pPr>
          </w:p>
        </w:tc>
        <w:tc>
          <w:tcPr>
            <w:tcW w:w="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left w:val="single" w:sz="8" w:color="CCEEFF"/>
            </w:tcBorders>
            <w:gridSpan w:val="2"/>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gridSpan w:val="3"/>
            <w:shd w:val="clear" w:color="auto" w:fill="CCEEFF"/>
          </w:tcPr>
          <w:p>
            <w:pPr>
              <w:jc w:val="right"/>
              <w:spacing w:after="0" w:line="155" w:lineRule="exact"/>
              <w:rPr>
                <w:sz w:val="20"/>
                <w:szCs w:val="20"/>
                <w:color w:val="auto"/>
              </w:rPr>
            </w:pPr>
            <w:r>
              <w:rPr>
                <w:rFonts w:ascii="Arial" w:cs="Arial" w:eastAsia="Arial" w:hAnsi="Arial"/>
                <w:sz w:val="17"/>
                <w:szCs w:val="17"/>
                <w:b w:val="1"/>
                <w:bCs w:val="1"/>
                <w:color w:val="auto"/>
                <w:w w:val="73"/>
              </w:rPr>
              <w:t>17</w:t>
            </w:r>
          </w:p>
        </w:tc>
        <w:tc>
          <w:tcPr>
            <w:tcW w:w="80" w:type="dxa"/>
            <w:vAlign w:val="bottom"/>
            <w:tcBorders>
              <w:left w:val="single" w:sz="8" w:color="CCEEFF"/>
            </w:tcBorders>
            <w:shd w:val="clear" w:color="auto" w:fill="CCEEFF"/>
          </w:tcPr>
          <w:p>
            <w:pPr>
              <w:spacing w:after="0"/>
              <w:rPr>
                <w:sz w:val="15"/>
                <w:szCs w:val="15"/>
                <w:color w:val="auto"/>
              </w:rPr>
            </w:pPr>
          </w:p>
        </w:tc>
        <w:tc>
          <w:tcPr>
            <w:tcW w:w="160" w:type="dxa"/>
            <w:vAlign w:val="bottom"/>
            <w:gridSpan w:val="2"/>
            <w:shd w:val="clear" w:color="auto" w:fill="CCEEFF"/>
          </w:tcPr>
          <w:p>
            <w:pPr>
              <w:spacing w:after="0"/>
              <w:rPr>
                <w:sz w:val="15"/>
                <w:szCs w:val="15"/>
                <w:color w:val="auto"/>
              </w:rPr>
            </w:pPr>
          </w:p>
        </w:tc>
        <w:tc>
          <w:tcPr>
            <w:tcW w:w="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0" w:type="dxa"/>
            <w:vAlign w:val="bottom"/>
            <w:tcBorders>
              <w:left w:val="single" w:sz="8" w:color="CCEEFF"/>
            </w:tcBorders>
            <w:shd w:val="clear" w:color="auto" w:fill="CCEEFF"/>
          </w:tcPr>
          <w:p>
            <w:pPr>
              <w:spacing w:after="0"/>
              <w:rPr>
                <w:sz w:val="15"/>
                <w:szCs w:val="15"/>
                <w:color w:val="auto"/>
              </w:rPr>
            </w:pPr>
          </w:p>
        </w:tc>
        <w:tc>
          <w:tcPr>
            <w:tcW w:w="460" w:type="dxa"/>
            <w:vAlign w:val="bottom"/>
            <w:gridSpan w:val="4"/>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w w:val="71"/>
              </w:rPr>
              <w:t>5</w:t>
            </w:r>
          </w:p>
        </w:tc>
        <w:tc>
          <w:tcPr>
            <w:tcW w:w="80" w:type="dxa"/>
            <w:vAlign w:val="bottom"/>
            <w:tcBorders>
              <w:left w:val="single" w:sz="8" w:color="CCEEFF"/>
            </w:tcBorders>
            <w:shd w:val="clear" w:color="auto" w:fill="CCEEFF"/>
          </w:tcPr>
          <w:p>
            <w:pPr>
              <w:spacing w:after="0"/>
              <w:rPr>
                <w:sz w:val="15"/>
                <w:szCs w:val="15"/>
                <w:color w:val="auto"/>
              </w:rPr>
            </w:pPr>
          </w:p>
        </w:tc>
        <w:tc>
          <w:tcPr>
            <w:tcW w:w="260" w:type="dxa"/>
            <w:vAlign w:val="bottom"/>
            <w:tcBorders>
              <w:right w:val="single" w:sz="8" w:color="CCEEFF"/>
            </w:tcBorders>
            <w:gridSpan w:val="2"/>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rPr>
              <w:t>$</w:t>
            </w:r>
          </w:p>
        </w:tc>
        <w:tc>
          <w:tcPr>
            <w:tcW w:w="520" w:type="dxa"/>
            <w:vAlign w:val="bottom"/>
            <w:gridSpan w:val="4"/>
            <w:shd w:val="clear" w:color="auto" w:fill="CCEEFF"/>
          </w:tcPr>
          <w:p>
            <w:pPr>
              <w:spacing w:after="0"/>
              <w:rPr>
                <w:sz w:val="15"/>
                <w:szCs w:val="15"/>
                <w:color w:val="auto"/>
              </w:rPr>
            </w:pPr>
          </w:p>
        </w:tc>
        <w:tc>
          <w:tcPr>
            <w:tcW w:w="6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w w:val="79"/>
              </w:rPr>
              <w:t>1</w:t>
            </w:r>
          </w:p>
        </w:tc>
        <w:tc>
          <w:tcPr>
            <w:tcW w:w="240" w:type="dxa"/>
            <w:vAlign w:val="bottom"/>
            <w:tcBorders>
              <w:left w:val="single" w:sz="8" w:color="CCEEFF"/>
              <w:right w:val="single" w:sz="8" w:color="CCEEFF"/>
            </w:tcBorders>
            <w:shd w:val="clear" w:color="auto" w:fill="CCEEFF"/>
          </w:tcPr>
          <w:p>
            <w:pPr>
              <w:spacing w:after="0"/>
              <w:rPr>
                <w:sz w:val="15"/>
                <w:szCs w:val="15"/>
                <w:color w:val="auto"/>
              </w:rPr>
            </w:pPr>
          </w:p>
        </w:tc>
        <w:tc>
          <w:tcPr>
            <w:tcW w:w="8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b w:val="1"/>
                <w:bCs w:val="1"/>
                <w:color w:val="auto"/>
                <w:w w:val="71"/>
              </w:rPr>
              <w:t>$</w:t>
            </w:r>
          </w:p>
        </w:tc>
        <w:tc>
          <w:tcPr>
            <w:tcW w:w="540" w:type="dxa"/>
            <w:vAlign w:val="bottom"/>
            <w:gridSpan w:val="3"/>
            <w:shd w:val="clear" w:color="auto" w:fill="CCEEFF"/>
          </w:tcPr>
          <w:p>
            <w:pPr>
              <w:spacing w:after="0"/>
              <w:rPr>
                <w:sz w:val="15"/>
                <w:szCs w:val="15"/>
                <w:color w:val="auto"/>
              </w:rPr>
            </w:pPr>
          </w:p>
        </w:tc>
        <w:tc>
          <w:tcPr>
            <w:tcW w:w="160" w:type="dxa"/>
            <w:vAlign w:val="bottom"/>
            <w:tcBorders>
              <w:right w:val="single" w:sz="8" w:color="CCEEFF"/>
            </w:tcBorders>
            <w:shd w:val="clear" w:color="auto" w:fill="CCEEFF"/>
          </w:tcPr>
          <w:p>
            <w:pPr>
              <w:jc w:val="right"/>
              <w:spacing w:after="0" w:line="156" w:lineRule="exact"/>
              <w:rPr>
                <w:sz w:val="20"/>
                <w:szCs w:val="20"/>
                <w:color w:val="auto"/>
              </w:rPr>
            </w:pPr>
            <w:r>
              <w:rPr>
                <w:rFonts w:ascii="Arial" w:cs="Arial" w:eastAsia="Arial" w:hAnsi="Arial"/>
                <w:sz w:val="18"/>
                <w:szCs w:val="18"/>
                <w:b w:val="1"/>
                <w:bCs w:val="1"/>
                <w:color w:val="auto"/>
              </w:rPr>
              <w:t>1</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 w:type="dxa"/>
            <w:vAlign w:val="bottom"/>
            <w:tcBorders>
              <w:top w:val="single" w:sz="8" w:color="CCEEFF"/>
            </w:tcBorders>
            <w:vMerge w:val="restart"/>
          </w:tcPr>
          <w:p>
            <w:pPr>
              <w:spacing w:after="0" w:line="20" w:lineRule="exact"/>
              <w:rPr>
                <w:sz w:val="1"/>
                <w:szCs w:val="1"/>
                <w:color w:val="auto"/>
              </w:rPr>
            </w:pPr>
          </w:p>
        </w:tc>
        <w:tc>
          <w:tcPr>
            <w:tcW w:w="2440" w:type="dxa"/>
            <w:vAlign w:val="bottom"/>
            <w:tcBorders>
              <w:top w:val="single" w:sz="8" w:color="auto"/>
            </w:tcBorders>
            <w:gridSpan w:val="5"/>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spacing w:after="0" w:line="20" w:lineRule="exact"/>
              <w:rPr>
                <w:sz w:val="1"/>
                <w:szCs w:val="1"/>
                <w:color w:val="auto"/>
              </w:rPr>
            </w:pPr>
          </w:p>
        </w:tc>
        <w:tc>
          <w:tcPr>
            <w:tcW w:w="360" w:type="dxa"/>
            <w:vAlign w:val="bottom"/>
            <w:tcBorders>
              <w:top w:val="single" w:sz="8" w:color="CCEEFF"/>
            </w:tcBorders>
            <w:vMerge w:val="restart"/>
          </w:tcPr>
          <w:p>
            <w:pPr>
              <w:spacing w:after="0" w:line="20" w:lineRule="exact"/>
              <w:rPr>
                <w:sz w:val="1"/>
                <w:szCs w:val="1"/>
                <w:color w:val="auto"/>
              </w:rPr>
            </w:pPr>
          </w:p>
        </w:tc>
        <w:tc>
          <w:tcPr>
            <w:tcW w:w="80" w:type="dxa"/>
            <w:vAlign w:val="bottom"/>
            <w:tcBorders>
              <w:top w:val="single" w:sz="8" w:color="auto"/>
              <w:left w:val="single" w:sz="8" w:color="auto"/>
            </w:tcBorders>
            <w:gridSpan w:val="2"/>
            <w:shd w:val="clear" w:color="auto" w:fill="000000"/>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right w:val="single" w:sz="8" w:color="auto"/>
            </w:tcBorders>
            <w:gridSpan w:val="2"/>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right w:val="single" w:sz="8" w:color="auto"/>
            </w:tcBorders>
            <w:gridSpan w:val="2"/>
          </w:tcPr>
          <w:p>
            <w:pPr>
              <w:spacing w:after="0" w:line="20" w:lineRule="exact"/>
              <w:rPr>
                <w:sz w:val="1"/>
                <w:szCs w:val="1"/>
                <w:color w:val="auto"/>
              </w:rPr>
            </w:pPr>
          </w:p>
        </w:tc>
        <w:tc>
          <w:tcPr>
            <w:tcW w:w="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vMerge w:val="restart"/>
          </w:tcPr>
          <w:p>
            <w:pPr>
              <w:spacing w:after="0" w:line="20" w:lineRule="exact"/>
              <w:rPr>
                <w:sz w:val="1"/>
                <w:szCs w:val="1"/>
                <w:color w:val="auto"/>
              </w:rPr>
            </w:pPr>
          </w:p>
        </w:tc>
        <w:tc>
          <w:tcPr>
            <w:tcW w:w="160" w:type="dxa"/>
            <w:vAlign w:val="bottom"/>
            <w:tcBorders>
              <w:top w:val="single" w:sz="8" w:color="CCEEFF"/>
              <w:right w:val="single" w:sz="8" w:color="auto"/>
            </w:tcBorders>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tcBorders>
            <w:gridSpan w:val="3"/>
            <w:vMerge w:val="restart"/>
          </w:tcPr>
          <w:p>
            <w:pPr>
              <w:spacing w:after="0" w:line="20" w:lineRule="exact"/>
              <w:rPr>
                <w:sz w:val="1"/>
                <w:szCs w:val="1"/>
                <w:color w:val="auto"/>
              </w:rPr>
            </w:pPr>
          </w:p>
        </w:tc>
        <w:tc>
          <w:tcPr>
            <w:tcW w:w="260" w:type="dxa"/>
            <w:vAlign w:val="bottom"/>
            <w:tcBorders>
              <w:top w:val="single" w:sz="8" w:color="auto"/>
              <w:left w:val="single" w:sz="8" w:color="auto"/>
              <w:right w:val="single" w:sz="8" w:color="auto"/>
            </w:tcBorders>
            <w:gridSpan w:val="3"/>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80" w:type="dxa"/>
            <w:vAlign w:val="bottom"/>
            <w:tcBorders>
              <w:top w:val="single" w:sz="8" w:color="auto"/>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auto"/>
              <w:right w:val="single" w:sz="8" w:color="auto"/>
            </w:tcBorders>
            <w:gridSpan w:val="4"/>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8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5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auto"/>
            </w:tcBorders>
            <w:gridSpan w:val="4"/>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6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gridSpan w:val="5"/>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CCEEFF"/>
            </w:tcBorders>
            <w:gridSpan w:val="5"/>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CCEEFF"/>
              <w:right w:val="single" w:sz="8" w:color="auto"/>
            </w:tcBorders>
            <w:gridSpan w:val="4"/>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60" w:type="dxa"/>
            <w:vAlign w:val="bottom"/>
            <w:vMerge w:val="continue"/>
          </w:tcPr>
          <w:p>
            <w:pPr>
              <w:spacing w:after="0"/>
              <w:rPr>
                <w:sz w:val="19"/>
                <w:szCs w:val="19"/>
                <w:color w:val="auto"/>
              </w:rPr>
            </w:pPr>
          </w:p>
        </w:tc>
        <w:tc>
          <w:tcPr>
            <w:tcW w:w="2440" w:type="dxa"/>
            <w:vAlign w:val="bottom"/>
            <w:gridSpan w:val="5"/>
          </w:tcPr>
          <w:p>
            <w:pPr>
              <w:spacing w:after="0"/>
              <w:rPr>
                <w:sz w:val="20"/>
                <w:szCs w:val="20"/>
                <w:color w:val="auto"/>
              </w:rPr>
            </w:pPr>
            <w:r>
              <w:rPr>
                <w:rFonts w:ascii="Arial" w:cs="Arial" w:eastAsia="Arial" w:hAnsi="Arial"/>
                <w:sz w:val="18"/>
                <w:szCs w:val="18"/>
                <w:b w:val="1"/>
                <w:bCs w:val="1"/>
                <w:color w:val="auto"/>
              </w:rPr>
              <w:t>Unlevered Free Cash Flow</w:t>
            </w:r>
          </w:p>
        </w:tc>
        <w:tc>
          <w:tcPr>
            <w:tcW w:w="32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1,613</w:t>
            </w:r>
          </w:p>
        </w:tc>
        <w:tc>
          <w:tcPr>
            <w:tcW w:w="1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19"/>
                <w:szCs w:val="19"/>
                <w:color w:val="auto"/>
              </w:rPr>
            </w:pPr>
          </w:p>
        </w:tc>
        <w:tc>
          <w:tcPr>
            <w:tcW w:w="660" w:type="dxa"/>
            <w:vAlign w:val="bottom"/>
            <w:gridSpan w:val="3"/>
          </w:tcPr>
          <w:p>
            <w:pPr>
              <w:jc w:val="right"/>
              <w:spacing w:after="0"/>
              <w:rPr>
                <w:sz w:val="20"/>
                <w:szCs w:val="20"/>
                <w:color w:val="auto"/>
              </w:rPr>
            </w:pPr>
            <w:r>
              <w:rPr>
                <w:rFonts w:ascii="Arial" w:cs="Arial" w:eastAsia="Arial" w:hAnsi="Arial"/>
                <w:sz w:val="18"/>
                <w:szCs w:val="18"/>
                <w:color w:val="auto"/>
              </w:rPr>
              <w:t>1,360</w:t>
            </w:r>
          </w:p>
        </w:tc>
        <w:tc>
          <w:tcPr>
            <w:tcW w:w="1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3"/>
            <w:vMerge w:val="continue"/>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w w:val="79"/>
              </w:rPr>
              <w:t>586</w:t>
            </w: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9"/>
                <w:szCs w:val="19"/>
                <w:color w:val="auto"/>
              </w:rPr>
            </w:pPr>
          </w:p>
        </w:tc>
        <w:tc>
          <w:tcPr>
            <w:tcW w:w="600" w:type="dxa"/>
            <w:vAlign w:val="bottom"/>
            <w:gridSpan w:val="6"/>
          </w:tcPr>
          <w:p>
            <w:pPr>
              <w:jc w:val="right"/>
              <w:spacing w:after="0"/>
              <w:rPr>
                <w:sz w:val="20"/>
                <w:szCs w:val="20"/>
                <w:color w:val="auto"/>
              </w:rPr>
            </w:pPr>
            <w:r>
              <w:rPr>
                <w:rFonts w:ascii="Arial" w:cs="Arial" w:eastAsia="Arial" w:hAnsi="Arial"/>
                <w:sz w:val="18"/>
                <w:szCs w:val="18"/>
                <w:color w:val="auto"/>
              </w:rPr>
              <w:t>397</w:t>
            </w: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0"/>
                <w:szCs w:val="10"/>
                <w:color w:val="auto"/>
                <w:w w:val="71"/>
              </w:rPr>
              <w:t>$</w:t>
            </w:r>
          </w:p>
        </w:tc>
        <w:tc>
          <w:tcPr>
            <w:tcW w:w="700" w:type="dxa"/>
            <w:vAlign w:val="bottom"/>
            <w:gridSpan w:val="6"/>
          </w:tcPr>
          <w:p>
            <w:pPr>
              <w:jc w:val="right"/>
              <w:spacing w:after="0"/>
              <w:rPr>
                <w:sz w:val="20"/>
                <w:szCs w:val="20"/>
                <w:color w:val="auto"/>
              </w:rPr>
            </w:pPr>
            <w:r>
              <w:rPr>
                <w:rFonts w:ascii="Arial" w:cs="Arial" w:eastAsia="Arial" w:hAnsi="Arial"/>
                <w:sz w:val="18"/>
                <w:szCs w:val="18"/>
                <w:color w:val="auto"/>
              </w:rPr>
              <w:t>345</w:t>
            </w: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9"/>
                <w:szCs w:val="19"/>
                <w:color w:val="auto"/>
              </w:rPr>
            </w:pPr>
          </w:p>
        </w:tc>
        <w:tc>
          <w:tcPr>
            <w:tcW w:w="600" w:type="dxa"/>
            <w:vAlign w:val="bottom"/>
            <w:gridSpan w:val="6"/>
          </w:tcPr>
          <w:p>
            <w:pPr>
              <w:jc w:val="right"/>
              <w:spacing w:after="0"/>
              <w:rPr>
                <w:sz w:val="20"/>
                <w:szCs w:val="20"/>
                <w:color w:val="auto"/>
              </w:rPr>
            </w:pPr>
            <w:r>
              <w:rPr>
                <w:rFonts w:ascii="Arial" w:cs="Arial" w:eastAsia="Arial" w:hAnsi="Arial"/>
                <w:sz w:val="18"/>
                <w:szCs w:val="18"/>
                <w:color w:val="auto"/>
              </w:rPr>
              <w:t>310</w:t>
            </w:r>
          </w:p>
        </w:tc>
        <w:tc>
          <w:tcPr>
            <w:tcW w:w="8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680" w:type="dxa"/>
            <w:vAlign w:val="bottom"/>
            <w:gridSpan w:val="6"/>
          </w:tcPr>
          <w:p>
            <w:pPr>
              <w:jc w:val="right"/>
              <w:spacing w:after="0"/>
              <w:rPr>
                <w:sz w:val="20"/>
                <w:szCs w:val="20"/>
                <w:color w:val="auto"/>
              </w:rPr>
            </w:pPr>
            <w:r>
              <w:rPr>
                <w:rFonts w:ascii="Arial" w:cs="Arial" w:eastAsia="Arial" w:hAnsi="Arial"/>
                <w:sz w:val="18"/>
                <w:szCs w:val="18"/>
                <w:color w:val="auto"/>
              </w:rPr>
              <w:t>302</w:t>
            </w:r>
          </w:p>
        </w:tc>
        <w:tc>
          <w:tcPr>
            <w:tcW w:w="240" w:type="dxa"/>
            <w:vAlign w:val="bottom"/>
          </w:tcPr>
          <w:p>
            <w:pPr>
              <w:spacing w:after="0"/>
              <w:rPr>
                <w:sz w:val="19"/>
                <w:szCs w:val="19"/>
                <w:color w:val="auto"/>
              </w:rPr>
            </w:pPr>
          </w:p>
        </w:tc>
        <w:tc>
          <w:tcPr>
            <w:tcW w:w="80" w:type="dxa"/>
            <w:vAlign w:val="bottom"/>
            <w:vMerge w:val="continue"/>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296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660" w:right="400" w:hanging="328"/>
        <w:spacing w:after="0" w:line="277" w:lineRule="auto"/>
        <w:tabs>
          <w:tab w:leader="none" w:pos="660" w:val="left"/>
        </w:tabs>
        <w:numPr>
          <w:ilvl w:val="0"/>
          <w:numId w:val="10"/>
        </w:numPr>
        <w:rPr>
          <w:rFonts w:ascii="Arial" w:cs="Arial" w:eastAsia="Arial" w:hAnsi="Arial"/>
          <w:sz w:val="15"/>
          <w:szCs w:val="15"/>
          <w:color w:val="auto"/>
        </w:rPr>
      </w:pPr>
      <w:r>
        <w:rPr>
          <w:rFonts w:ascii="Arial" w:cs="Arial" w:eastAsia="Arial" w:hAnsi="Arial"/>
          <w:sz w:val="18"/>
          <w:szCs w:val="18"/>
          <w:color w:val="auto"/>
        </w:rPr>
        <w:t>For the period from June 30, 2023 to December 31, 2023, Unlevered Free Cash Flow included in the 2023 Management Projections is ($169) million.</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i w:val="1"/>
          <w:iCs w:val="1"/>
          <w:color w:val="auto"/>
        </w:rPr>
        <w:t>The disclosure under the section entitled “The Merger — Certain Financial Projections” is hereby amended and supplemented by adding the following bolded and double underlined language to the first full paragraph on page 67 of the Definitive Proxy Statement:</w:t>
      </w:r>
    </w:p>
    <w:p>
      <w:pPr>
        <w:spacing w:after="0" w:line="17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Management Projections were not prepared with a view toward compliance with published guidelines of the SEC, the guidelines established by the American Institute of Certified Public Accountants for preparation and presentation of financial forecasts, or U.S. generally accepted accounting principles (“</w:t>
      </w:r>
      <w:r>
        <w:rPr>
          <w:rFonts w:ascii="Arial" w:cs="Arial" w:eastAsia="Arial" w:hAnsi="Arial"/>
          <w:sz w:val="16"/>
          <w:szCs w:val="16"/>
          <w:u w:val="single" w:color="auto"/>
          <w:color w:val="auto"/>
        </w:rPr>
        <w:t>GAAP</w:t>
      </w:r>
      <w:r>
        <w:rPr>
          <w:rFonts w:ascii="Arial" w:cs="Arial" w:eastAsia="Arial" w:hAnsi="Arial"/>
          <w:sz w:val="16"/>
          <w:szCs w:val="16"/>
          <w:color w:val="auto"/>
        </w:rPr>
        <w:t xml:space="preserve">”). Non-GAAP financial measures should not be considered in isolation from, or as a substitute for, financial information presented in compliance with GAAP, and non-GAAP financial measures as used by IVERIC may not be comparable to similarly titled amounts used by other companies. </w:t>
      </w:r>
      <w:r>
        <w:rPr>
          <w:rFonts w:ascii="Arial" w:cs="Arial" w:eastAsia="Arial" w:hAnsi="Arial"/>
          <w:sz w:val="16"/>
          <w:szCs w:val="16"/>
          <w:b w:val="1"/>
          <w:bCs w:val="1"/>
          <w:u w:val="single" w:color="auto"/>
          <w:color w:val="auto"/>
        </w:rPr>
        <w:t>In certain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circumstances, including those applicable to the Management Projections, financial measures included in forecasts provided to a financial advisor and a board of directors in connection with a business combination transaction are excluded from the definition of “non-GAAP financial measures” under applicable SEC rules and regulations. As a result, the financial measures included in the Management Projections are not subject to SEC rules regarding disclosures of non-GAAP financial measures, which would otherwise require a reconciliation of a non-GAAP financial measure to a GAAP financial measure. Reconciliations of non-GAAP financial measures were not provided to or relied upon by the Board of Directors, BofA Securities, Centerview or Parent.</w:t>
      </w:r>
      <w:r>
        <w:rPr>
          <w:rFonts w:ascii="Arial" w:cs="Arial" w:eastAsia="Arial" w:hAnsi="Arial"/>
          <w:sz w:val="16"/>
          <w:szCs w:val="16"/>
          <w:b w:val="1"/>
          <w:bCs w:val="1"/>
          <w:color w:val="auto"/>
        </w:rPr>
        <w:t xml:space="preserve"> </w:t>
      </w:r>
      <w:r>
        <w:rPr>
          <w:rFonts w:ascii="Arial" w:cs="Arial" w:eastAsia="Arial" w:hAnsi="Arial"/>
          <w:sz w:val="16"/>
          <w:szCs w:val="16"/>
          <w:color w:val="auto"/>
        </w:rPr>
        <w:t>In addition, the Management Projections were not prepared with the assistance of, or</w:t>
      </w:r>
      <w:r>
        <w:rPr>
          <w:rFonts w:ascii="Arial" w:cs="Arial" w:eastAsia="Arial" w:hAnsi="Arial"/>
          <w:sz w:val="16"/>
          <w:szCs w:val="16"/>
          <w:b w:val="1"/>
          <w:bCs w:val="1"/>
          <w:color w:val="auto"/>
        </w:rPr>
        <w:t xml:space="preserve"> </w:t>
      </w:r>
      <w:r>
        <w:rPr>
          <w:rFonts w:ascii="Arial" w:cs="Arial" w:eastAsia="Arial" w:hAnsi="Arial"/>
          <w:sz w:val="16"/>
          <w:szCs w:val="16"/>
          <w:color w:val="auto"/>
        </w:rPr>
        <w:t>reviewed, compiled or examined by, independent accountants. The Management Projections are not being included in this proxy statement to influence any stockholder’s decision on how to vote with respect to the approval of the Merger Proposal. The Management Projections were prepared solely for internal use and are being included because the Management Projections were provided to the Board of Directors to evaluate the Merger and other potential strategic opportunities and the 2023 Management Projections were provided to the Board of Directors to evaluate the Merger and to BofA Securities and Centerview in connection with the rendering of their respective opinions to the Board of Directors and in performing the related financial analyses as described in the section of this proxy statement captioned “</w:t>
      </w:r>
      <w:r>
        <w:rPr>
          <w:rFonts w:ascii="Arial" w:cs="Arial" w:eastAsia="Arial" w:hAnsi="Arial"/>
          <w:sz w:val="16"/>
          <w:szCs w:val="16"/>
          <w:i w:val="1"/>
          <w:iCs w:val="1"/>
          <w:color w:val="auto"/>
        </w:rPr>
        <w:t>The Merger — Opinion of IVERIC’s Financial Advisors.</w:t>
      </w:r>
      <w:r>
        <w:rPr>
          <w:rFonts w:ascii="Arial" w:cs="Arial" w:eastAsia="Arial" w:hAnsi="Arial"/>
          <w:sz w:val="16"/>
          <w:szCs w:val="16"/>
          <w:color w:val="auto"/>
        </w:rPr>
        <w:t>” As discussed above, a portion of the 2023 Management Projections were also provided to Parent in connection with its evaluation of a transaction with IVERIC. The Management Projections may differ from publicly available analyst estimates, and the Management Projections do not take into account any events or circumstances after the date they were prepared, including the announcement of the Merger.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Interests of IVERIC’s Directors and Executive Officers in the Merger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Interests of IVERIC’s Executive Officers and Non-Employee Directors</w:t>
      </w:r>
    </w:p>
    <w:p>
      <w:pPr>
        <w:spacing w:after="0" w:line="225" w:lineRule="exact"/>
        <w:rPr>
          <w:sz w:val="20"/>
          <w:szCs w:val="20"/>
          <w:color w:val="auto"/>
        </w:rPr>
      </w:pPr>
    </w:p>
    <w:p>
      <w:pPr>
        <w:ind w:right="300"/>
        <w:spacing w:after="0" w:line="301" w:lineRule="auto"/>
        <w:rPr>
          <w:sz w:val="20"/>
          <w:szCs w:val="20"/>
          <w:color w:val="auto"/>
        </w:rPr>
      </w:pPr>
      <w:r>
        <w:rPr>
          <w:rFonts w:ascii="Arial" w:cs="Arial" w:eastAsia="Arial" w:hAnsi="Arial"/>
          <w:sz w:val="16"/>
          <w:szCs w:val="16"/>
          <w:i w:val="1"/>
          <w:iCs w:val="1"/>
          <w:color w:val="auto"/>
        </w:rPr>
        <w:t>The disclosure under the section entitled “The Merger —  Interests of IVERIC’s Directors and Executive Officers in the Merger —  Equity Interests of IVERIC’s Executive Officers and Non-Employee Directors” is hereby amended and supplemented by deleting the column with the heading “Company Options Held (vested and unvested),” adding the following columns with the headings “Company Options Held (vested)” and “Company Options Held (unvested)” and adding the following bold and double underlined language in the table on page 69 of the Definitive Proxy Statement: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Aggregate</w:t>
            </w:r>
          </w:p>
        </w:tc>
      </w:tr>
      <w:tr>
        <w:trPr>
          <w:trHeight w:val="216"/>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2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Company</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Spread in</w:t>
            </w:r>
          </w:p>
        </w:tc>
      </w:tr>
      <w:tr>
        <w:trPr>
          <w:trHeight w:val="216"/>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Restricted</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8"/>
              </w:rPr>
              <w:t>Restricted</w:t>
            </w:r>
          </w:p>
        </w:tc>
        <w:tc>
          <w:tcPr>
            <w:tcW w:w="2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Options</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22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Outstanding</w:t>
            </w:r>
          </w:p>
        </w:tc>
      </w:tr>
      <w:tr>
        <w:trPr>
          <w:trHeight w:val="216"/>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Shares</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Stock</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c>
          <w:tcPr>
            <w:tcW w:w="2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Held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2"/>
              </w:rPr>
              <w:t>Held</w:t>
            </w:r>
          </w:p>
        </w:tc>
        <w:tc>
          <w:tcPr>
            <w:tcW w:w="22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Company</w:t>
            </w:r>
          </w:p>
        </w:tc>
      </w:tr>
      <w:tr>
        <w:trPr>
          <w:trHeight w:val="216"/>
        </w:trPr>
        <w:tc>
          <w:tcPr>
            <w:tcW w:w="2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Held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2"/>
              </w:rPr>
              <w:t>Held</w:t>
            </w:r>
          </w:p>
        </w:tc>
        <w:tc>
          <w:tcPr>
            <w:tcW w:w="22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Units</w:t>
            </w: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Units</w:t>
            </w:r>
          </w:p>
        </w:tc>
        <w:tc>
          <w:tcPr>
            <w:tcW w:w="22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(vested)</w:t>
            </w: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7"/>
              </w:rPr>
              <w:t>(unvested)</w:t>
            </w:r>
          </w:p>
        </w:tc>
        <w:tc>
          <w:tcPr>
            <w:tcW w:w="22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Options</w:t>
            </w:r>
          </w:p>
        </w:tc>
      </w:tr>
      <w:tr>
        <w:trPr>
          <w:trHeight w:val="234"/>
        </w:trPr>
        <w:tc>
          <w:tcPr>
            <w:tcW w:w="258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4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(#)(1)</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(#)(2)</w:t>
            </w:r>
          </w:p>
        </w:tc>
        <w:tc>
          <w:tcPr>
            <w:tcW w:w="24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(#)(2)</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($)(2)</w:t>
            </w:r>
          </w:p>
        </w:tc>
        <w:tc>
          <w:tcPr>
            <w:tcW w:w="100" w:type="dxa"/>
            <w:vAlign w:val="bottom"/>
          </w:tcPr>
          <w:p>
            <w:pPr>
              <w:spacing w:after="0"/>
              <w:rPr>
                <w:sz w:val="20"/>
                <w:szCs w:val="20"/>
                <w:color w:val="auto"/>
              </w:rPr>
            </w:pPr>
          </w:p>
        </w:tc>
      </w:tr>
      <w:tr>
        <w:trPr>
          <w:trHeight w:val="209"/>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Glenn P. Sblendorio</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228,191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9,127,640</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341,565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13,662,600</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1,180,186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606,497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54,511,736</w:t>
            </w:r>
          </w:p>
        </w:tc>
        <w:tc>
          <w:tcPr>
            <w:tcW w:w="100" w:type="dxa"/>
            <w:vAlign w:val="bottom"/>
            <w:shd w:val="clear" w:color="auto" w:fill="CCEEFF"/>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Pravin U. Dugel</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203,035</w:t>
            </w:r>
          </w:p>
        </w:tc>
        <w:tc>
          <w:tcPr>
            <w:tcW w:w="1000" w:type="dxa"/>
            <w:vAlign w:val="bottom"/>
          </w:tcPr>
          <w:p>
            <w:pPr>
              <w:jc w:val="right"/>
              <w:spacing w:after="0"/>
              <w:rPr>
                <w:sz w:val="20"/>
                <w:szCs w:val="20"/>
                <w:color w:val="auto"/>
              </w:rPr>
            </w:pPr>
            <w:r>
              <w:rPr>
                <w:rFonts w:ascii="Arial" w:cs="Arial" w:eastAsia="Arial" w:hAnsi="Arial"/>
                <w:sz w:val="18"/>
                <w:szCs w:val="18"/>
                <w:color w:val="auto"/>
              </w:rPr>
              <w:t>8,121,400</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193,625</w:t>
            </w:r>
          </w:p>
        </w:tc>
        <w:tc>
          <w:tcPr>
            <w:tcW w:w="1020" w:type="dxa"/>
            <w:vAlign w:val="bottom"/>
          </w:tcPr>
          <w:p>
            <w:pPr>
              <w:jc w:val="right"/>
              <w:spacing w:after="0"/>
              <w:rPr>
                <w:sz w:val="20"/>
                <w:szCs w:val="20"/>
                <w:color w:val="auto"/>
              </w:rPr>
            </w:pPr>
            <w:r>
              <w:rPr>
                <w:rFonts w:ascii="Arial" w:cs="Arial" w:eastAsia="Arial" w:hAnsi="Arial"/>
                <w:sz w:val="18"/>
                <w:szCs w:val="18"/>
                <w:color w:val="auto"/>
              </w:rPr>
              <w:t>7,745,000</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350,625</w:t>
            </w:r>
          </w:p>
        </w:tc>
        <w:tc>
          <w:tcPr>
            <w:tcW w:w="1000" w:type="dxa"/>
            <w:vAlign w:val="bottom"/>
          </w:tcPr>
          <w:p>
            <w:pPr>
              <w:jc w:val="right"/>
              <w:spacing w:after="0"/>
              <w:rPr>
                <w:sz w:val="20"/>
                <w:szCs w:val="20"/>
                <w:color w:val="auto"/>
              </w:rPr>
            </w:pPr>
            <w:r>
              <w:rPr>
                <w:rFonts w:ascii="Arial" w:cs="Arial" w:eastAsia="Arial" w:hAnsi="Arial"/>
                <w:sz w:val="18"/>
                <w:szCs w:val="18"/>
                <w:color w:val="auto"/>
              </w:rPr>
              <w:t>334,375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20,733,250</w:t>
            </w:r>
          </w:p>
        </w:tc>
        <w:tc>
          <w:tcPr>
            <w:tcW w:w="10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Anthony S. Gibney</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42,791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1,711,640</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156,250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6,250,000</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70,833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179,167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5,839,500</w:t>
            </w:r>
          </w:p>
        </w:tc>
        <w:tc>
          <w:tcPr>
            <w:tcW w:w="100" w:type="dxa"/>
            <w:vAlign w:val="bottom"/>
            <w:shd w:val="clear" w:color="auto" w:fill="CCEEFF"/>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David F. Carroll</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68,472</w:t>
            </w:r>
          </w:p>
        </w:tc>
        <w:tc>
          <w:tcPr>
            <w:tcW w:w="1000" w:type="dxa"/>
            <w:vAlign w:val="bottom"/>
          </w:tcPr>
          <w:p>
            <w:pPr>
              <w:jc w:val="right"/>
              <w:spacing w:after="0"/>
              <w:rPr>
                <w:sz w:val="20"/>
                <w:szCs w:val="20"/>
                <w:color w:val="auto"/>
              </w:rPr>
            </w:pPr>
            <w:r>
              <w:rPr>
                <w:rFonts w:ascii="Arial" w:cs="Arial" w:eastAsia="Arial" w:hAnsi="Arial"/>
                <w:sz w:val="18"/>
                <w:szCs w:val="18"/>
                <w:color w:val="auto"/>
              </w:rPr>
              <w:t>2,738,880</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102,500</w:t>
            </w:r>
          </w:p>
        </w:tc>
        <w:tc>
          <w:tcPr>
            <w:tcW w:w="1020" w:type="dxa"/>
            <w:vAlign w:val="bottom"/>
          </w:tcPr>
          <w:p>
            <w:pPr>
              <w:jc w:val="right"/>
              <w:spacing w:after="0"/>
              <w:rPr>
                <w:sz w:val="20"/>
                <w:szCs w:val="20"/>
                <w:color w:val="auto"/>
              </w:rPr>
            </w:pPr>
            <w:r>
              <w:rPr>
                <w:rFonts w:ascii="Arial" w:cs="Arial" w:eastAsia="Arial" w:hAnsi="Arial"/>
                <w:sz w:val="18"/>
                <w:szCs w:val="18"/>
                <w:color w:val="auto"/>
              </w:rPr>
              <w:t>4,100,000</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346,334</w:t>
            </w:r>
          </w:p>
        </w:tc>
        <w:tc>
          <w:tcPr>
            <w:tcW w:w="1000" w:type="dxa"/>
            <w:vAlign w:val="bottom"/>
          </w:tcPr>
          <w:p>
            <w:pPr>
              <w:jc w:val="right"/>
              <w:spacing w:after="0"/>
              <w:rPr>
                <w:sz w:val="20"/>
                <w:szCs w:val="20"/>
                <w:color w:val="auto"/>
              </w:rPr>
            </w:pPr>
            <w:r>
              <w:rPr>
                <w:rFonts w:ascii="Arial" w:cs="Arial" w:eastAsia="Arial" w:hAnsi="Arial"/>
                <w:sz w:val="18"/>
                <w:szCs w:val="18"/>
                <w:color w:val="auto"/>
              </w:rPr>
              <w:t>176,666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16,323,150</w:t>
            </w:r>
          </w:p>
        </w:tc>
        <w:tc>
          <w:tcPr>
            <w:tcW w:w="10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Keith Westby</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39,652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1,586,080</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98,750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3,950,000</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325,308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170,728</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13,570,575</w:t>
            </w:r>
          </w:p>
        </w:tc>
        <w:tc>
          <w:tcPr>
            <w:tcW w:w="100" w:type="dxa"/>
            <w:vAlign w:val="bottom"/>
            <w:shd w:val="clear" w:color="auto" w:fill="CCEEFF"/>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Christopher P. Simms</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32,429</w:t>
            </w:r>
          </w:p>
        </w:tc>
        <w:tc>
          <w:tcPr>
            <w:tcW w:w="1000" w:type="dxa"/>
            <w:vAlign w:val="bottom"/>
          </w:tcPr>
          <w:p>
            <w:pPr>
              <w:jc w:val="right"/>
              <w:spacing w:after="0"/>
              <w:rPr>
                <w:sz w:val="20"/>
                <w:szCs w:val="20"/>
                <w:color w:val="auto"/>
              </w:rPr>
            </w:pPr>
            <w:r>
              <w:rPr>
                <w:rFonts w:ascii="Arial" w:cs="Arial" w:eastAsia="Arial" w:hAnsi="Arial"/>
                <w:sz w:val="18"/>
                <w:szCs w:val="18"/>
                <w:color w:val="auto"/>
              </w:rPr>
              <w:t>1,297,160</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112,500</w:t>
            </w:r>
          </w:p>
        </w:tc>
        <w:tc>
          <w:tcPr>
            <w:tcW w:w="1020" w:type="dxa"/>
            <w:vAlign w:val="bottom"/>
          </w:tcPr>
          <w:p>
            <w:pPr>
              <w:jc w:val="right"/>
              <w:spacing w:after="0"/>
              <w:rPr>
                <w:sz w:val="20"/>
                <w:szCs w:val="20"/>
                <w:color w:val="auto"/>
              </w:rPr>
            </w:pPr>
            <w:r>
              <w:rPr>
                <w:rFonts w:ascii="Arial" w:cs="Arial" w:eastAsia="Arial" w:hAnsi="Arial"/>
                <w:sz w:val="18"/>
                <w:szCs w:val="18"/>
                <w:color w:val="auto"/>
              </w:rPr>
              <w:t>4,500,000</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87,708</w:t>
            </w:r>
          </w:p>
        </w:tc>
        <w:tc>
          <w:tcPr>
            <w:tcW w:w="1000" w:type="dxa"/>
            <w:vAlign w:val="bottom"/>
          </w:tcPr>
          <w:p>
            <w:pPr>
              <w:jc w:val="right"/>
              <w:spacing w:after="0"/>
              <w:rPr>
                <w:sz w:val="20"/>
                <w:szCs w:val="20"/>
                <w:color w:val="auto"/>
              </w:rPr>
            </w:pPr>
            <w:r>
              <w:rPr>
                <w:rFonts w:ascii="Arial" w:cs="Arial" w:eastAsia="Arial" w:hAnsi="Arial"/>
                <w:sz w:val="18"/>
                <w:szCs w:val="18"/>
                <w:color w:val="auto"/>
              </w:rPr>
              <w:t>197,292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7,583,350</w:t>
            </w:r>
          </w:p>
        </w:tc>
        <w:tc>
          <w:tcPr>
            <w:tcW w:w="10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Mark S. Blumenkranz, M.D.</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32,088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1,283,520</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12,500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67,964</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2,312,381</w:t>
            </w:r>
          </w:p>
        </w:tc>
        <w:tc>
          <w:tcPr>
            <w:tcW w:w="100" w:type="dxa"/>
            <w:vAlign w:val="bottom"/>
            <w:shd w:val="clear" w:color="auto" w:fill="CCEEFF"/>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Axel Bolte</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22,088</w:t>
            </w:r>
          </w:p>
        </w:tc>
        <w:tc>
          <w:tcPr>
            <w:tcW w:w="1000" w:type="dxa"/>
            <w:vAlign w:val="bottom"/>
          </w:tcPr>
          <w:p>
            <w:pPr>
              <w:jc w:val="right"/>
              <w:spacing w:after="0"/>
              <w:rPr>
                <w:sz w:val="20"/>
                <w:szCs w:val="20"/>
                <w:color w:val="auto"/>
              </w:rPr>
            </w:pPr>
            <w:r>
              <w:rPr>
                <w:rFonts w:ascii="Arial" w:cs="Arial" w:eastAsia="Arial" w:hAnsi="Arial"/>
                <w:sz w:val="18"/>
                <w:szCs w:val="18"/>
                <w:color w:val="auto"/>
              </w:rPr>
              <w:t>883,520</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7,500</w:t>
            </w:r>
          </w:p>
        </w:tc>
        <w:tc>
          <w:tcPr>
            <w:tcW w:w="1020" w:type="dxa"/>
            <w:vAlign w:val="bottom"/>
          </w:tcPr>
          <w:p>
            <w:pPr>
              <w:jc w:val="right"/>
              <w:spacing w:after="0"/>
              <w:rPr>
                <w:sz w:val="20"/>
                <w:szCs w:val="20"/>
                <w:color w:val="auto"/>
              </w:rPr>
            </w:pPr>
            <w:r>
              <w:rPr>
                <w:rFonts w:ascii="Arial" w:cs="Arial" w:eastAsia="Arial" w:hAnsi="Arial"/>
                <w:sz w:val="18"/>
                <w:szCs w:val="18"/>
                <w:color w:val="auto"/>
              </w:rPr>
              <w:t>300,000</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102,686</w:t>
            </w: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3,599,021</w:t>
            </w:r>
          </w:p>
        </w:tc>
        <w:tc>
          <w:tcPr>
            <w:tcW w:w="10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Adrienne L. Graves, Ph.D.</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22,088</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883,520</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7,500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102,686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3,636,381</w:t>
            </w:r>
          </w:p>
        </w:tc>
        <w:tc>
          <w:tcPr>
            <w:tcW w:w="100" w:type="dxa"/>
            <w:vAlign w:val="bottom"/>
            <w:shd w:val="clear" w:color="auto" w:fill="CCEEFF"/>
          </w:tcPr>
          <w:p>
            <w:pPr>
              <w:spacing w:after="0"/>
              <w:rPr>
                <w:sz w:val="18"/>
                <w:szCs w:val="18"/>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Jane P. Henderson</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22,088</w:t>
            </w:r>
          </w:p>
        </w:tc>
        <w:tc>
          <w:tcPr>
            <w:tcW w:w="1000" w:type="dxa"/>
            <w:vAlign w:val="bottom"/>
          </w:tcPr>
          <w:p>
            <w:pPr>
              <w:jc w:val="right"/>
              <w:spacing w:after="0"/>
              <w:rPr>
                <w:sz w:val="20"/>
                <w:szCs w:val="20"/>
                <w:color w:val="auto"/>
              </w:rPr>
            </w:pPr>
            <w:r>
              <w:rPr>
                <w:rFonts w:ascii="Arial" w:cs="Arial" w:eastAsia="Arial" w:hAnsi="Arial"/>
                <w:sz w:val="18"/>
                <w:szCs w:val="18"/>
                <w:color w:val="auto"/>
              </w:rPr>
              <w:t>883,520</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7,500</w:t>
            </w:r>
          </w:p>
        </w:tc>
        <w:tc>
          <w:tcPr>
            <w:tcW w:w="1020" w:type="dxa"/>
            <w:vAlign w:val="bottom"/>
          </w:tcPr>
          <w:p>
            <w:pPr>
              <w:jc w:val="right"/>
              <w:spacing w:after="0"/>
              <w:rPr>
                <w:sz w:val="20"/>
                <w:szCs w:val="20"/>
                <w:color w:val="auto"/>
              </w:rPr>
            </w:pPr>
            <w:r>
              <w:rPr>
                <w:rFonts w:ascii="Arial" w:cs="Arial" w:eastAsia="Arial" w:hAnsi="Arial"/>
                <w:sz w:val="18"/>
                <w:szCs w:val="18"/>
                <w:color w:val="auto"/>
              </w:rPr>
              <w:t>300,000</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118,686</w:t>
            </w: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4,187,181</w:t>
            </w:r>
          </w:p>
        </w:tc>
        <w:tc>
          <w:tcPr>
            <w:tcW w:w="100" w:type="dxa"/>
            <w:vAlign w:val="bottom"/>
          </w:tcPr>
          <w:p>
            <w:pPr>
              <w:spacing w:after="0"/>
              <w:rPr>
                <w:sz w:val="18"/>
                <w:szCs w:val="18"/>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Christine A. Miller</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13,075</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523,000</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17,500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14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26,613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17,222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1,182,210</w:t>
            </w:r>
          </w:p>
        </w:tc>
        <w:tc>
          <w:tcPr>
            <w:tcW w:w="100" w:type="dxa"/>
            <w:vAlign w:val="bottom"/>
            <w:shd w:val="clear" w:color="auto" w:fill="CCEEFF"/>
          </w:tcPr>
          <w:p>
            <w:pPr>
              <w:spacing w:after="0"/>
              <w:rPr>
                <w:sz w:val="18"/>
                <w:szCs w:val="18"/>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Calvin W. Roberts, M.D.</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47,088</w:t>
            </w:r>
          </w:p>
        </w:tc>
        <w:tc>
          <w:tcPr>
            <w:tcW w:w="1000" w:type="dxa"/>
            <w:vAlign w:val="bottom"/>
          </w:tcPr>
          <w:p>
            <w:pPr>
              <w:jc w:val="right"/>
              <w:spacing w:after="0"/>
              <w:rPr>
                <w:sz w:val="20"/>
                <w:szCs w:val="20"/>
                <w:color w:val="auto"/>
              </w:rPr>
            </w:pPr>
            <w:r>
              <w:rPr>
                <w:rFonts w:ascii="Arial" w:cs="Arial" w:eastAsia="Arial" w:hAnsi="Arial"/>
                <w:sz w:val="18"/>
                <w:szCs w:val="18"/>
                <w:color w:val="auto"/>
              </w:rPr>
              <w:t>1,883,520</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7,500</w:t>
            </w:r>
          </w:p>
        </w:tc>
        <w:tc>
          <w:tcPr>
            <w:tcW w:w="1020" w:type="dxa"/>
            <w:vAlign w:val="bottom"/>
          </w:tcPr>
          <w:p>
            <w:pPr>
              <w:jc w:val="right"/>
              <w:spacing w:after="0"/>
              <w:rPr>
                <w:sz w:val="20"/>
                <w:szCs w:val="20"/>
                <w:color w:val="auto"/>
              </w:rPr>
            </w:pPr>
            <w:r>
              <w:rPr>
                <w:rFonts w:ascii="Arial" w:cs="Arial" w:eastAsia="Arial" w:hAnsi="Arial"/>
                <w:sz w:val="18"/>
                <w:szCs w:val="18"/>
                <w:color w:val="auto"/>
              </w:rPr>
              <w:t>300,000</w:t>
            </w:r>
          </w:p>
        </w:tc>
        <w:tc>
          <w:tcPr>
            <w:tcW w:w="1460" w:type="dxa"/>
            <w:vAlign w:val="bottom"/>
            <w:gridSpan w:val="3"/>
          </w:tcPr>
          <w:p>
            <w:pPr>
              <w:jc w:val="right"/>
              <w:ind w:right="220"/>
              <w:spacing w:after="0"/>
              <w:rPr>
                <w:sz w:val="20"/>
                <w:szCs w:val="20"/>
                <w:color w:val="auto"/>
              </w:rPr>
            </w:pPr>
            <w:r>
              <w:rPr>
                <w:rFonts w:ascii="Arial" w:cs="Arial" w:eastAsia="Arial" w:hAnsi="Arial"/>
                <w:sz w:val="18"/>
                <w:szCs w:val="18"/>
                <w:color w:val="auto"/>
              </w:rPr>
              <w:t>102,686</w:t>
            </w:r>
          </w:p>
        </w:tc>
        <w:tc>
          <w:tcPr>
            <w:tcW w:w="1000" w:type="dxa"/>
            <w:vAlign w:val="bottom"/>
          </w:tcPr>
          <w:p>
            <w:pPr>
              <w:jc w:val="right"/>
              <w:spacing w:after="0"/>
              <w:rPr>
                <w:sz w:val="20"/>
                <w:szCs w:val="20"/>
                <w:color w:val="auto"/>
              </w:rPr>
            </w:pPr>
            <w:r>
              <w:rPr>
                <w:rFonts w:ascii="Arial" w:cs="Arial" w:eastAsia="Arial" w:hAnsi="Arial"/>
                <w:sz w:val="18"/>
                <w:szCs w:val="18"/>
                <w:color w:val="auto"/>
              </w:rPr>
              <w:t>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3,644,381</w:t>
            </w:r>
          </w:p>
        </w:tc>
        <w:tc>
          <w:tcPr>
            <w:tcW w:w="100" w:type="dxa"/>
            <w:vAlign w:val="bottom"/>
          </w:tcPr>
          <w:p>
            <w:pPr>
              <w:spacing w:after="0"/>
              <w:rPr>
                <w:sz w:val="20"/>
                <w:szCs w:val="20"/>
                <w:color w:val="auto"/>
              </w:rPr>
            </w:pPr>
          </w:p>
        </w:tc>
      </w:tr>
    </w:tbl>
    <w:p>
      <w:pPr>
        <w:spacing w:after="0" w:line="183" w:lineRule="exact"/>
        <w:rPr>
          <w:sz w:val="20"/>
          <w:szCs w:val="20"/>
          <w:color w:val="auto"/>
        </w:rPr>
      </w:pPr>
    </w:p>
    <w:p>
      <w:pPr>
        <w:ind w:left="660" w:right="260" w:hanging="328"/>
        <w:spacing w:after="0" w:line="28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This column only represents restricted stock unit awards, including the 56,250 Company PSUs held by Mr. Gibney. </w:t>
      </w:r>
      <w:r>
        <w:rPr>
          <w:rFonts w:ascii="Arial" w:cs="Arial" w:eastAsia="Arial" w:hAnsi="Arial"/>
          <w:sz w:val="18"/>
          <w:szCs w:val="18"/>
          <w:b w:val="1"/>
          <w:bCs w:val="1"/>
          <w:u w:val="single" w:color="auto"/>
          <w:color w:val="auto"/>
        </w:rPr>
        <w:t>All outstanding restricted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stock units are unvested.</w:t>
      </w:r>
    </w:p>
    <w:p>
      <w:pPr>
        <w:spacing w:after="0" w:line="16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column only includes Company Options with a per-share exercise price that is less than the Per Share Merger Consideration.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Golden Parachute Compensation</w:t>
      </w:r>
    </w:p>
    <w:p>
      <w:pPr>
        <w:spacing w:after="0" w:line="225"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i w:val="1"/>
          <w:iCs w:val="1"/>
          <w:color w:val="auto"/>
        </w:rPr>
        <w:t>The disclosure under the section entitled “The Merger —  Interests of IVERIC’s Directors and Executive Officers in the Merger —  Golden Parachute Compensation” is hereby amended and supplemented by adding the following bolded and double underlined language and deleting the following strikethrough language in the table on page 70 of the Definitive Proxy Statement: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Cash</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w w:val="98"/>
              </w:rPr>
              <w:t>Equity</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w w:val="86"/>
              </w:rPr>
              <w:t>Perquisites/Benefits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r>
      <w:tr>
        <w:trPr>
          <w:trHeight w:val="234"/>
        </w:trPr>
        <w:tc>
          <w:tcPr>
            <w:tcW w:w="4660" w:type="dxa"/>
            <w:vAlign w:val="bottom"/>
          </w:tcPr>
          <w:p>
            <w:pPr>
              <w:spacing w:after="0"/>
              <w:rPr>
                <w:sz w:val="20"/>
                <w:szCs w:val="20"/>
                <w:color w:val="auto"/>
              </w:rPr>
            </w:pPr>
            <w:r>
              <w:rPr>
                <w:rFonts w:ascii="Arial" w:cs="Arial" w:eastAsia="Arial" w:hAnsi="Arial"/>
                <w:sz w:val="18"/>
                <w:szCs w:val="18"/>
                <w:b w:val="1"/>
                <w:bCs w:val="1"/>
                <w:color w:val="auto"/>
              </w:rPr>
              <w:t>Name (1)</w:t>
            </w:r>
          </w:p>
        </w:tc>
        <w:tc>
          <w:tcPr>
            <w:tcW w:w="11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 (2)</w:t>
            </w:r>
          </w:p>
        </w:tc>
        <w:tc>
          <w:tcPr>
            <w:tcW w:w="200" w:type="dxa"/>
            <w:vAlign w:val="bottom"/>
          </w:tcPr>
          <w:p>
            <w:pPr>
              <w:spacing w:after="0"/>
              <w:rPr>
                <w:sz w:val="20"/>
                <w:szCs w:val="20"/>
                <w:color w:val="auto"/>
              </w:rPr>
            </w:pPr>
          </w:p>
        </w:tc>
        <w:tc>
          <w:tcPr>
            <w:tcW w:w="960" w:type="dxa"/>
            <w:vAlign w:val="bottom"/>
            <w:gridSpan w:val="5"/>
          </w:tcPr>
          <w:p>
            <w:pPr>
              <w:jc w:val="right"/>
              <w:ind w:right="150"/>
              <w:spacing w:after="0"/>
              <w:rPr>
                <w:sz w:val="20"/>
                <w:szCs w:val="20"/>
                <w:color w:val="auto"/>
              </w:rPr>
            </w:pPr>
            <w:r>
              <w:rPr>
                <w:rFonts w:ascii="Arial" w:cs="Arial" w:eastAsia="Arial" w:hAnsi="Arial"/>
                <w:sz w:val="18"/>
                <w:szCs w:val="18"/>
                <w:b w:val="1"/>
                <w:bCs w:val="1"/>
                <w:color w:val="auto"/>
              </w:rPr>
              <w:t>($) (3)</w:t>
            </w:r>
          </w:p>
        </w:tc>
        <w:tc>
          <w:tcPr>
            <w:tcW w:w="170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 (4)</w:t>
            </w:r>
          </w:p>
        </w:tc>
        <w:tc>
          <w:tcPr>
            <w:tcW w:w="1160" w:type="dxa"/>
            <w:vAlign w:val="bottom"/>
            <w:gridSpan w:val="6"/>
          </w:tcPr>
          <w:p>
            <w:pPr>
              <w:jc w:val="right"/>
              <w:ind w:right="29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20"/>
                <w:szCs w:val="20"/>
                <w:color w:val="auto"/>
              </w:rPr>
            </w:pPr>
          </w:p>
        </w:tc>
      </w:tr>
      <w:tr>
        <w:trPr>
          <w:trHeight w:val="191"/>
        </w:trPr>
        <w:tc>
          <w:tcPr>
            <w:tcW w:w="46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gridSpan w:val="4"/>
            <w:shd w:val="clear" w:color="auto" w:fill="CCEEFF"/>
          </w:tcPr>
          <w:p>
            <w:pPr>
              <w:jc w:val="right"/>
              <w:spacing w:after="0" w:line="191" w:lineRule="exact"/>
              <w:rPr>
                <w:sz w:val="20"/>
                <w:szCs w:val="20"/>
                <w:color w:val="auto"/>
              </w:rPr>
            </w:pPr>
            <w:r>
              <w:rPr>
                <w:rFonts w:ascii="Arial" w:cs="Arial" w:eastAsia="Arial" w:hAnsi="Arial"/>
                <w:sz w:val="18"/>
                <w:szCs w:val="18"/>
                <w:color w:val="auto"/>
                <w:strike w:val="1"/>
                <w:w w:val="86"/>
              </w:rPr>
              <w:t>27,722,967</w:t>
            </w:r>
          </w:p>
        </w:tc>
        <w:tc>
          <w:tcPr>
            <w:tcW w:w="180" w:type="dxa"/>
            <w:vAlign w:val="bottom"/>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gridSpan w:val="4"/>
            <w:shd w:val="clear" w:color="auto" w:fill="CCEEFF"/>
          </w:tcPr>
          <w:p>
            <w:pPr>
              <w:jc w:val="right"/>
              <w:spacing w:after="0" w:line="191" w:lineRule="exact"/>
              <w:rPr>
                <w:sz w:val="20"/>
                <w:szCs w:val="20"/>
                <w:color w:val="auto"/>
              </w:rPr>
            </w:pPr>
            <w:r>
              <w:rPr>
                <w:rFonts w:ascii="Arial" w:cs="Arial" w:eastAsia="Arial" w:hAnsi="Arial"/>
                <w:sz w:val="18"/>
                <w:szCs w:val="18"/>
                <w:color w:val="auto"/>
                <w:strike w:val="1"/>
                <w:w w:val="88"/>
              </w:rPr>
              <w:t>29,806,537</w:t>
            </w:r>
          </w:p>
        </w:tc>
        <w:tc>
          <w:tcPr>
            <w:tcW w:w="80" w:type="dxa"/>
            <w:vAlign w:val="bottom"/>
            <w:shd w:val="clear" w:color="auto" w:fill="CCEEFF"/>
          </w:tcPr>
          <w:p>
            <w:pPr>
              <w:spacing w:after="0"/>
              <w:rPr>
                <w:sz w:val="16"/>
                <w:szCs w:val="16"/>
                <w:color w:val="auto"/>
              </w:rPr>
            </w:pPr>
          </w:p>
        </w:tc>
      </w:tr>
      <w:tr>
        <w:trPr>
          <w:trHeight w:val="234"/>
        </w:trPr>
        <w:tc>
          <w:tcPr>
            <w:tcW w:w="466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Glenn P. Sblendorio</w:t>
            </w:r>
          </w:p>
        </w:tc>
        <w:tc>
          <w:tcPr>
            <w:tcW w:w="1320" w:type="dxa"/>
            <w:vAlign w:val="bottom"/>
            <w:gridSpan w:val="3"/>
            <w:shd w:val="clear" w:color="auto" w:fill="CCEEFF"/>
          </w:tcPr>
          <w:p>
            <w:pPr>
              <w:jc w:val="right"/>
              <w:ind w:right="180"/>
              <w:spacing w:after="0" w:line="194" w:lineRule="exact"/>
              <w:rPr>
                <w:sz w:val="20"/>
                <w:szCs w:val="20"/>
                <w:color w:val="auto"/>
              </w:rPr>
            </w:pPr>
            <w:r>
              <w:rPr>
                <w:rFonts w:ascii="Arial" w:cs="Arial" w:eastAsia="Arial" w:hAnsi="Arial"/>
                <w:sz w:val="18"/>
                <w:szCs w:val="18"/>
                <w:color w:val="auto"/>
              </w:rPr>
              <w:t>1,961,000</w:t>
            </w:r>
          </w:p>
        </w:tc>
        <w:tc>
          <w:tcPr>
            <w:tcW w:w="960" w:type="dxa"/>
            <w:vAlign w:val="bottom"/>
            <w:gridSpan w:val="5"/>
            <w:shd w:val="clear" w:color="auto" w:fill="CCEEFF"/>
          </w:tcPr>
          <w:p>
            <w:pPr>
              <w:jc w:val="right"/>
              <w:spacing w:after="0" w:line="194" w:lineRule="exact"/>
              <w:rPr>
                <w:sz w:val="20"/>
                <w:szCs w:val="20"/>
                <w:color w:val="auto"/>
              </w:rPr>
            </w:pPr>
            <w:r>
              <w:rPr>
                <w:rFonts w:ascii="Arial" w:cs="Arial" w:eastAsia="Arial" w:hAnsi="Arial"/>
                <w:sz w:val="18"/>
                <w:szCs w:val="18"/>
                <w:b w:val="1"/>
                <w:bCs w:val="1"/>
                <w:color w:val="auto"/>
              </w:rPr>
              <w:t>27,722,969</w:t>
            </w:r>
          </w:p>
        </w:tc>
        <w:tc>
          <w:tcPr>
            <w:tcW w:w="17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8"/>
                <w:szCs w:val="18"/>
                <w:color w:val="auto"/>
              </w:rPr>
              <w:t>122,570</w:t>
            </w:r>
          </w:p>
        </w:tc>
        <w:tc>
          <w:tcPr>
            <w:tcW w:w="1160" w:type="dxa"/>
            <w:vAlign w:val="bottom"/>
            <w:gridSpan w:val="6"/>
            <w:shd w:val="clear" w:color="auto" w:fill="CCEEFF"/>
          </w:tcPr>
          <w:p>
            <w:pPr>
              <w:jc w:val="right"/>
              <w:spacing w:after="0" w:line="194" w:lineRule="exact"/>
              <w:rPr>
                <w:sz w:val="20"/>
                <w:szCs w:val="20"/>
                <w:color w:val="auto"/>
              </w:rPr>
            </w:pPr>
            <w:r>
              <w:rPr>
                <w:rFonts w:ascii="Arial" w:cs="Arial" w:eastAsia="Arial" w:hAnsi="Arial"/>
                <w:sz w:val="18"/>
                <w:szCs w:val="18"/>
                <w:b w:val="1"/>
                <w:bCs w:val="1"/>
                <w:color w:val="auto"/>
              </w:rPr>
              <w:t>29,806,539</w:t>
            </w:r>
          </w:p>
        </w:tc>
        <w:tc>
          <w:tcPr>
            <w:tcW w:w="80" w:type="dxa"/>
            <w:vAlign w:val="bottom"/>
            <w:shd w:val="clear" w:color="auto" w:fill="CCEEFF"/>
          </w:tcPr>
          <w:p>
            <w:pPr>
              <w:spacing w:after="0"/>
              <w:rPr>
                <w:sz w:val="20"/>
                <w:szCs w:val="20"/>
                <w:color w:val="auto"/>
              </w:rPr>
            </w:pPr>
          </w:p>
        </w:tc>
      </w:tr>
      <w:tr>
        <w:trPr>
          <w:trHeight w:val="178"/>
        </w:trPr>
        <w:tc>
          <w:tcPr>
            <w:tcW w:w="46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3"/>
          </w:tcPr>
          <w:p>
            <w:pPr>
              <w:jc w:val="right"/>
              <w:spacing w:after="0" w:line="177" w:lineRule="exact"/>
              <w:rPr>
                <w:sz w:val="20"/>
                <w:szCs w:val="20"/>
                <w:color w:val="auto"/>
              </w:rPr>
            </w:pPr>
            <w:r>
              <w:rPr>
                <w:rFonts w:ascii="Arial" w:cs="Arial" w:eastAsia="Arial" w:hAnsi="Arial"/>
                <w:sz w:val="18"/>
                <w:szCs w:val="18"/>
                <w:color w:val="auto"/>
                <w:strike w:val="1"/>
                <w:w w:val="84"/>
              </w:rPr>
              <w:t>16,333,142</w:t>
            </w:r>
          </w:p>
        </w:tc>
        <w:tc>
          <w:tcPr>
            <w:tcW w:w="180" w:type="dxa"/>
            <w:vAlign w:val="bottom"/>
            <w:tcBorders>
              <w:top w:val="single" w:sz="8" w:color="CCEEFF"/>
            </w:tcBorders>
          </w:tcPr>
          <w:p>
            <w:pPr>
              <w:spacing w:after="0"/>
              <w:rPr>
                <w:sz w:val="15"/>
                <w:szCs w:val="15"/>
                <w:color w:val="auto"/>
              </w:rPr>
            </w:pPr>
          </w:p>
        </w:tc>
        <w:tc>
          <w:tcPr>
            <w:tcW w:w="15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820" w:type="dxa"/>
            <w:vAlign w:val="bottom"/>
            <w:tcBorders>
              <w:top w:val="single" w:sz="8" w:color="auto"/>
            </w:tcBorders>
            <w:gridSpan w:val="4"/>
          </w:tcPr>
          <w:p>
            <w:pPr>
              <w:jc w:val="right"/>
              <w:spacing w:after="0" w:line="177" w:lineRule="exact"/>
              <w:rPr>
                <w:sz w:val="20"/>
                <w:szCs w:val="20"/>
                <w:color w:val="auto"/>
              </w:rPr>
            </w:pPr>
            <w:r>
              <w:rPr>
                <w:rFonts w:ascii="Arial" w:cs="Arial" w:eastAsia="Arial" w:hAnsi="Arial"/>
                <w:sz w:val="18"/>
                <w:szCs w:val="18"/>
                <w:color w:val="auto"/>
                <w:strike w:val="1"/>
                <w:w w:val="88"/>
              </w:rPr>
              <w:t>17,253,112</w:t>
            </w:r>
          </w:p>
        </w:tc>
        <w:tc>
          <w:tcPr>
            <w:tcW w:w="80" w:type="dxa"/>
            <w:vAlign w:val="bottom"/>
            <w:tcBorders>
              <w:top w:val="single" w:sz="8" w:color="CCEEFF"/>
            </w:tcBorders>
          </w:tcPr>
          <w:p>
            <w:pPr>
              <w:spacing w:after="0"/>
              <w:rPr>
                <w:sz w:val="15"/>
                <w:szCs w:val="15"/>
                <w:color w:val="auto"/>
              </w:rPr>
            </w:pPr>
          </w:p>
        </w:tc>
      </w:tr>
      <w:tr>
        <w:trPr>
          <w:trHeight w:val="194"/>
        </w:trPr>
        <w:tc>
          <w:tcPr>
            <w:tcW w:w="4660" w:type="dxa"/>
            <w:vAlign w:val="bottom"/>
          </w:tcPr>
          <w:p>
            <w:pPr>
              <w:spacing w:after="0" w:line="194" w:lineRule="exact"/>
              <w:rPr>
                <w:sz w:val="20"/>
                <w:szCs w:val="20"/>
                <w:color w:val="auto"/>
              </w:rPr>
            </w:pPr>
            <w:r>
              <w:rPr>
                <w:rFonts w:ascii="Arial" w:cs="Arial" w:eastAsia="Arial" w:hAnsi="Arial"/>
                <w:sz w:val="18"/>
                <w:szCs w:val="18"/>
                <w:color w:val="auto"/>
              </w:rPr>
              <w:t>Pravin U. Dugel</w:t>
            </w:r>
          </w:p>
        </w:tc>
        <w:tc>
          <w:tcPr>
            <w:tcW w:w="1320" w:type="dxa"/>
            <w:vAlign w:val="bottom"/>
            <w:gridSpan w:val="3"/>
          </w:tcPr>
          <w:p>
            <w:pPr>
              <w:jc w:val="right"/>
              <w:ind w:right="180"/>
              <w:spacing w:after="0" w:line="194" w:lineRule="exact"/>
              <w:rPr>
                <w:sz w:val="20"/>
                <w:szCs w:val="20"/>
                <w:color w:val="auto"/>
              </w:rPr>
            </w:pPr>
            <w:r>
              <w:rPr>
                <w:rFonts w:ascii="Arial" w:cs="Arial" w:eastAsia="Arial" w:hAnsi="Arial"/>
                <w:sz w:val="18"/>
                <w:szCs w:val="18"/>
                <w:color w:val="auto"/>
              </w:rPr>
              <w:t>863,970</w:t>
            </w:r>
          </w:p>
        </w:tc>
        <w:tc>
          <w:tcPr>
            <w:tcW w:w="960" w:type="dxa"/>
            <w:vAlign w:val="bottom"/>
            <w:gridSpan w:val="5"/>
          </w:tcPr>
          <w:p>
            <w:pPr>
              <w:jc w:val="right"/>
              <w:spacing w:after="0" w:line="194" w:lineRule="exact"/>
              <w:rPr>
                <w:sz w:val="20"/>
                <w:szCs w:val="20"/>
                <w:color w:val="auto"/>
              </w:rPr>
            </w:pPr>
            <w:r>
              <w:rPr>
                <w:rFonts w:ascii="Arial" w:cs="Arial" w:eastAsia="Arial" w:hAnsi="Arial"/>
                <w:sz w:val="18"/>
                <w:szCs w:val="18"/>
                <w:b w:val="1"/>
                <w:bCs w:val="1"/>
                <w:color w:val="auto"/>
              </w:rPr>
              <w:t>16,333,144</w:t>
            </w:r>
          </w:p>
        </w:tc>
        <w:tc>
          <w:tcPr>
            <w:tcW w:w="1700" w:type="dxa"/>
            <w:vAlign w:val="bottom"/>
            <w:gridSpan w:val="2"/>
          </w:tcPr>
          <w:p>
            <w:pPr>
              <w:jc w:val="right"/>
              <w:spacing w:after="0" w:line="194" w:lineRule="exact"/>
              <w:rPr>
                <w:sz w:val="20"/>
                <w:szCs w:val="20"/>
                <w:color w:val="auto"/>
              </w:rPr>
            </w:pPr>
            <w:r>
              <w:rPr>
                <w:rFonts w:ascii="Arial" w:cs="Arial" w:eastAsia="Arial" w:hAnsi="Arial"/>
                <w:sz w:val="18"/>
                <w:szCs w:val="18"/>
                <w:color w:val="auto"/>
              </w:rPr>
              <w:t>56,000</w:t>
            </w:r>
          </w:p>
        </w:tc>
        <w:tc>
          <w:tcPr>
            <w:tcW w:w="1160" w:type="dxa"/>
            <w:vAlign w:val="bottom"/>
            <w:gridSpan w:val="6"/>
          </w:tcPr>
          <w:p>
            <w:pPr>
              <w:jc w:val="right"/>
              <w:spacing w:after="0" w:line="194" w:lineRule="exact"/>
              <w:rPr>
                <w:sz w:val="20"/>
                <w:szCs w:val="20"/>
                <w:color w:val="auto"/>
              </w:rPr>
            </w:pPr>
            <w:r>
              <w:rPr>
                <w:rFonts w:ascii="Arial" w:cs="Arial" w:eastAsia="Arial" w:hAnsi="Arial"/>
                <w:sz w:val="18"/>
                <w:szCs w:val="18"/>
                <w:b w:val="1"/>
                <w:bCs w:val="1"/>
                <w:color w:val="auto"/>
              </w:rPr>
              <w:t>17,253,114</w:t>
            </w:r>
          </w:p>
        </w:tc>
        <w:tc>
          <w:tcPr>
            <w:tcW w:w="80" w:type="dxa"/>
            <w:vAlign w:val="bottom"/>
          </w:tcPr>
          <w:p>
            <w:pPr>
              <w:spacing w:after="0"/>
              <w:rPr>
                <w:sz w:val="16"/>
                <w:szCs w:val="16"/>
                <w:color w:val="auto"/>
              </w:rPr>
            </w:pPr>
          </w:p>
        </w:tc>
      </w:tr>
      <w:tr>
        <w:trPr>
          <w:trHeight w:val="21"/>
        </w:trPr>
        <w:tc>
          <w:tcPr>
            <w:tcW w:w="4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78"/>
        </w:trPr>
        <w:tc>
          <w:tcPr>
            <w:tcW w:w="4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spacing w:after="0" w:line="177" w:lineRule="exact"/>
              <w:rPr>
                <w:sz w:val="20"/>
                <w:szCs w:val="20"/>
                <w:color w:val="auto"/>
              </w:rPr>
            </w:pPr>
            <w:r>
              <w:rPr>
                <w:rFonts w:ascii="Arial" w:cs="Arial" w:eastAsia="Arial" w:hAnsi="Arial"/>
                <w:sz w:val="18"/>
                <w:szCs w:val="18"/>
                <w:color w:val="auto"/>
                <w:strike w:val="1"/>
                <w:w w:val="87"/>
              </w:rPr>
              <w:t>8,404,978</w:t>
            </w: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7" w:lineRule="exact"/>
              <w:rPr>
                <w:sz w:val="20"/>
                <w:szCs w:val="20"/>
                <w:color w:val="auto"/>
              </w:rPr>
            </w:pPr>
            <w:r>
              <w:rPr>
                <w:rFonts w:ascii="Arial" w:cs="Arial" w:eastAsia="Arial" w:hAnsi="Arial"/>
                <w:sz w:val="18"/>
                <w:szCs w:val="18"/>
                <w:color w:val="auto"/>
                <w:strike w:val="1"/>
                <w:w w:val="84"/>
              </w:rPr>
              <w:t>9,119,162</w:t>
            </w:r>
          </w:p>
        </w:tc>
        <w:tc>
          <w:tcPr>
            <w:tcW w:w="80" w:type="dxa"/>
            <w:vAlign w:val="bottom"/>
            <w:shd w:val="clear" w:color="auto" w:fill="CCEEFF"/>
          </w:tcPr>
          <w:p>
            <w:pPr>
              <w:spacing w:after="0"/>
              <w:rPr>
                <w:sz w:val="15"/>
                <w:szCs w:val="15"/>
                <w:color w:val="auto"/>
              </w:rPr>
            </w:pPr>
          </w:p>
        </w:tc>
      </w:tr>
      <w:tr>
        <w:trPr>
          <w:trHeight w:val="234"/>
        </w:trPr>
        <w:tc>
          <w:tcPr>
            <w:tcW w:w="466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David F. Carroll</w:t>
            </w:r>
          </w:p>
        </w:tc>
        <w:tc>
          <w:tcPr>
            <w:tcW w:w="1320" w:type="dxa"/>
            <w:vAlign w:val="bottom"/>
            <w:gridSpan w:val="3"/>
            <w:shd w:val="clear" w:color="auto" w:fill="CCEEFF"/>
          </w:tcPr>
          <w:p>
            <w:pPr>
              <w:jc w:val="right"/>
              <w:ind w:right="180"/>
              <w:spacing w:after="0" w:line="194" w:lineRule="exact"/>
              <w:rPr>
                <w:sz w:val="20"/>
                <w:szCs w:val="20"/>
                <w:color w:val="auto"/>
              </w:rPr>
            </w:pPr>
            <w:r>
              <w:rPr>
                <w:rFonts w:ascii="Arial" w:cs="Arial" w:eastAsia="Arial" w:hAnsi="Arial"/>
                <w:sz w:val="18"/>
                <w:szCs w:val="18"/>
                <w:color w:val="auto"/>
              </w:rPr>
              <w:t>658,184</w:t>
            </w:r>
          </w:p>
        </w:tc>
        <w:tc>
          <w:tcPr>
            <w:tcW w:w="240" w:type="dxa"/>
            <w:vAlign w:val="bottom"/>
            <w:gridSpan w:val="3"/>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8"/>
                <w:szCs w:val="18"/>
                <w:b w:val="1"/>
                <w:bCs w:val="1"/>
                <w:color w:val="auto"/>
                <w:w w:val="87"/>
              </w:rPr>
              <w:t>8,404,957</w:t>
            </w:r>
          </w:p>
        </w:tc>
        <w:tc>
          <w:tcPr>
            <w:tcW w:w="17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8"/>
                <w:szCs w:val="18"/>
                <w:color w:val="auto"/>
              </w:rPr>
              <w:t>56,000</w:t>
            </w:r>
          </w:p>
        </w:tc>
        <w:tc>
          <w:tcPr>
            <w:tcW w:w="1160" w:type="dxa"/>
            <w:vAlign w:val="bottom"/>
            <w:gridSpan w:val="6"/>
            <w:shd w:val="clear" w:color="auto" w:fill="CCEEFF"/>
          </w:tcPr>
          <w:p>
            <w:pPr>
              <w:jc w:val="right"/>
              <w:spacing w:after="0" w:line="194" w:lineRule="exact"/>
              <w:rPr>
                <w:sz w:val="20"/>
                <w:szCs w:val="20"/>
                <w:color w:val="auto"/>
              </w:rPr>
            </w:pPr>
            <w:r>
              <w:rPr>
                <w:rFonts w:ascii="Arial" w:cs="Arial" w:eastAsia="Arial" w:hAnsi="Arial"/>
                <w:sz w:val="18"/>
                <w:szCs w:val="18"/>
                <w:b w:val="1"/>
                <w:bCs w:val="1"/>
                <w:color w:val="auto"/>
              </w:rPr>
              <w:t>9,119,141</w:t>
            </w:r>
          </w:p>
        </w:tc>
        <w:tc>
          <w:tcPr>
            <w:tcW w:w="80" w:type="dxa"/>
            <w:vAlign w:val="bottom"/>
            <w:shd w:val="clear" w:color="auto" w:fill="CCEEFF"/>
          </w:tcPr>
          <w:p>
            <w:pPr>
              <w:spacing w:after="0"/>
              <w:rPr>
                <w:sz w:val="20"/>
                <w:szCs w:val="20"/>
                <w:color w:val="auto"/>
              </w:rPr>
            </w:pPr>
          </w:p>
        </w:tc>
      </w:tr>
      <w:tr>
        <w:trPr>
          <w:trHeight w:val="178"/>
        </w:trPr>
        <w:tc>
          <w:tcPr>
            <w:tcW w:w="466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strike w:val="1"/>
                <w:w w:val="84"/>
              </w:rPr>
              <w:t>8,062,008</w:t>
            </w:r>
          </w:p>
        </w:tc>
        <w:tc>
          <w:tcPr>
            <w:tcW w:w="180" w:type="dxa"/>
            <w:vAlign w:val="bottom"/>
            <w:tcBorders>
              <w:top w:val="single" w:sz="8" w:color="CCEEFF"/>
            </w:tcBorders>
          </w:tcPr>
          <w:p>
            <w:pPr>
              <w:spacing w:after="0"/>
              <w:rPr>
                <w:sz w:val="15"/>
                <w:szCs w:val="15"/>
                <w:color w:val="auto"/>
              </w:rPr>
            </w:pPr>
          </w:p>
        </w:tc>
        <w:tc>
          <w:tcPr>
            <w:tcW w:w="1520" w:type="dxa"/>
            <w:vAlign w:val="bottom"/>
            <w:tcBorders>
              <w:top w:val="single" w:sz="8" w:color="CCEEFF"/>
            </w:tcBorders>
          </w:tcPr>
          <w:p>
            <w:pPr>
              <w:spacing w:after="0"/>
              <w:rPr>
                <w:sz w:val="15"/>
                <w:szCs w:val="15"/>
                <w:color w:val="auto"/>
              </w:rPr>
            </w:pPr>
          </w:p>
        </w:tc>
        <w:tc>
          <w:tcPr>
            <w:tcW w:w="18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70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color w:val="auto"/>
                <w:strike w:val="1"/>
                <w:w w:val="84"/>
              </w:rPr>
              <w:t>8,754,239</w:t>
            </w:r>
          </w:p>
        </w:tc>
        <w:tc>
          <w:tcPr>
            <w:tcW w:w="80" w:type="dxa"/>
            <w:vAlign w:val="bottom"/>
            <w:tcBorders>
              <w:top w:val="single" w:sz="8" w:color="CCEEFF"/>
            </w:tcBorders>
          </w:tcPr>
          <w:p>
            <w:pPr>
              <w:spacing w:after="0"/>
              <w:rPr>
                <w:sz w:val="15"/>
                <w:szCs w:val="15"/>
                <w:color w:val="auto"/>
              </w:rPr>
            </w:pPr>
          </w:p>
        </w:tc>
      </w:tr>
      <w:tr>
        <w:trPr>
          <w:trHeight w:val="194"/>
        </w:trPr>
        <w:tc>
          <w:tcPr>
            <w:tcW w:w="4660" w:type="dxa"/>
            <w:vAlign w:val="bottom"/>
          </w:tcPr>
          <w:p>
            <w:pPr>
              <w:spacing w:after="0" w:line="194" w:lineRule="exact"/>
              <w:rPr>
                <w:sz w:val="20"/>
                <w:szCs w:val="20"/>
                <w:color w:val="auto"/>
              </w:rPr>
            </w:pPr>
            <w:r>
              <w:rPr>
                <w:rFonts w:ascii="Arial" w:cs="Arial" w:eastAsia="Arial" w:hAnsi="Arial"/>
                <w:sz w:val="18"/>
                <w:szCs w:val="18"/>
                <w:color w:val="auto"/>
              </w:rPr>
              <w:t>Keith Westby</w:t>
            </w:r>
          </w:p>
        </w:tc>
        <w:tc>
          <w:tcPr>
            <w:tcW w:w="1320" w:type="dxa"/>
            <w:vAlign w:val="bottom"/>
            <w:gridSpan w:val="3"/>
          </w:tcPr>
          <w:p>
            <w:pPr>
              <w:jc w:val="right"/>
              <w:ind w:right="180"/>
              <w:spacing w:after="0" w:line="194" w:lineRule="exact"/>
              <w:rPr>
                <w:sz w:val="20"/>
                <w:szCs w:val="20"/>
                <w:color w:val="auto"/>
              </w:rPr>
            </w:pPr>
            <w:r>
              <w:rPr>
                <w:rFonts w:ascii="Arial" w:cs="Arial" w:eastAsia="Arial" w:hAnsi="Arial"/>
                <w:sz w:val="18"/>
                <w:szCs w:val="18"/>
                <w:color w:val="auto"/>
              </w:rPr>
              <w:t>636,231</w:t>
            </w:r>
          </w:p>
        </w:tc>
        <w:tc>
          <w:tcPr>
            <w:tcW w:w="960" w:type="dxa"/>
            <w:vAlign w:val="bottom"/>
            <w:gridSpan w:val="5"/>
          </w:tcPr>
          <w:p>
            <w:pPr>
              <w:jc w:val="right"/>
              <w:spacing w:after="0" w:line="194" w:lineRule="exact"/>
              <w:rPr>
                <w:sz w:val="20"/>
                <w:szCs w:val="20"/>
                <w:color w:val="auto"/>
              </w:rPr>
            </w:pPr>
            <w:r>
              <w:rPr>
                <w:rFonts w:ascii="Arial" w:cs="Arial" w:eastAsia="Arial" w:hAnsi="Arial"/>
                <w:sz w:val="18"/>
                <w:szCs w:val="18"/>
                <w:b w:val="1"/>
                <w:bCs w:val="1"/>
                <w:color w:val="auto"/>
              </w:rPr>
              <w:t>8,061,972</w:t>
            </w:r>
          </w:p>
        </w:tc>
        <w:tc>
          <w:tcPr>
            <w:tcW w:w="1700" w:type="dxa"/>
            <w:vAlign w:val="bottom"/>
            <w:gridSpan w:val="2"/>
          </w:tcPr>
          <w:p>
            <w:pPr>
              <w:jc w:val="right"/>
              <w:spacing w:after="0" w:line="194" w:lineRule="exact"/>
              <w:rPr>
                <w:sz w:val="20"/>
                <w:szCs w:val="20"/>
                <w:color w:val="auto"/>
              </w:rPr>
            </w:pPr>
            <w:r>
              <w:rPr>
                <w:rFonts w:ascii="Arial" w:cs="Arial" w:eastAsia="Arial" w:hAnsi="Arial"/>
                <w:sz w:val="18"/>
                <w:szCs w:val="18"/>
                <w:color w:val="auto"/>
              </w:rPr>
              <w:t>56,000</w:t>
            </w:r>
          </w:p>
        </w:tc>
        <w:tc>
          <w:tcPr>
            <w:tcW w:w="1160" w:type="dxa"/>
            <w:vAlign w:val="bottom"/>
            <w:gridSpan w:val="6"/>
          </w:tcPr>
          <w:p>
            <w:pPr>
              <w:jc w:val="right"/>
              <w:spacing w:after="0" w:line="194" w:lineRule="exact"/>
              <w:rPr>
                <w:sz w:val="20"/>
                <w:szCs w:val="20"/>
                <w:color w:val="auto"/>
              </w:rPr>
            </w:pPr>
            <w:r>
              <w:rPr>
                <w:rFonts w:ascii="Arial" w:cs="Arial" w:eastAsia="Arial" w:hAnsi="Arial"/>
                <w:sz w:val="18"/>
                <w:szCs w:val="18"/>
                <w:b w:val="1"/>
                <w:bCs w:val="1"/>
                <w:color w:val="auto"/>
              </w:rPr>
              <w:t>8,754,203</w:t>
            </w:r>
          </w:p>
        </w:tc>
        <w:tc>
          <w:tcPr>
            <w:tcW w:w="80" w:type="dxa"/>
            <w:vAlign w:val="bottom"/>
          </w:tcPr>
          <w:p>
            <w:pPr>
              <w:spacing w:after="0"/>
              <w:rPr>
                <w:sz w:val="16"/>
                <w:szCs w:val="16"/>
                <w:color w:val="auto"/>
              </w:rPr>
            </w:pPr>
          </w:p>
        </w:tc>
      </w:tr>
      <w:tr>
        <w:trPr>
          <w:trHeight w:val="20"/>
        </w:trPr>
        <w:tc>
          <w:tcPr>
            <w:tcW w:w="46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178"/>
        </w:trPr>
        <w:tc>
          <w:tcPr>
            <w:tcW w:w="4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7" w:lineRule="exact"/>
              <w:rPr>
                <w:sz w:val="20"/>
                <w:szCs w:val="20"/>
                <w:color w:val="auto"/>
              </w:rPr>
            </w:pPr>
            <w:r>
              <w:rPr>
                <w:rFonts w:ascii="Arial" w:cs="Arial" w:eastAsia="Arial" w:hAnsi="Arial"/>
                <w:sz w:val="18"/>
                <w:szCs w:val="18"/>
                <w:color w:val="auto"/>
                <w:strike w:val="1"/>
                <w:w w:val="84"/>
              </w:rPr>
              <w:t>9,442,431</w:t>
            </w:r>
          </w:p>
        </w:tc>
        <w:tc>
          <w:tcPr>
            <w:tcW w:w="1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7" w:lineRule="exact"/>
              <w:rPr>
                <w:sz w:val="20"/>
                <w:szCs w:val="20"/>
                <w:color w:val="auto"/>
              </w:rPr>
            </w:pPr>
            <w:r>
              <w:rPr>
                <w:rFonts w:ascii="Arial" w:cs="Arial" w:eastAsia="Arial" w:hAnsi="Arial"/>
                <w:sz w:val="18"/>
                <w:szCs w:val="18"/>
                <w:color w:val="auto"/>
                <w:strike w:val="1"/>
                <w:w w:val="75"/>
              </w:rPr>
              <w:t>10,159,578</w:t>
            </w:r>
          </w:p>
        </w:tc>
        <w:tc>
          <w:tcPr>
            <w:tcW w:w="80" w:type="dxa"/>
            <w:vAlign w:val="bottom"/>
            <w:shd w:val="clear" w:color="auto" w:fill="CCEEFF"/>
          </w:tcPr>
          <w:p>
            <w:pPr>
              <w:spacing w:after="0"/>
              <w:rPr>
                <w:sz w:val="15"/>
                <w:szCs w:val="15"/>
                <w:color w:val="auto"/>
              </w:rPr>
            </w:pPr>
          </w:p>
        </w:tc>
      </w:tr>
      <w:tr>
        <w:trPr>
          <w:trHeight w:val="234"/>
        </w:trPr>
        <w:tc>
          <w:tcPr>
            <w:tcW w:w="466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Christopher P. Simms</w:t>
            </w:r>
          </w:p>
        </w:tc>
        <w:tc>
          <w:tcPr>
            <w:tcW w:w="1320" w:type="dxa"/>
            <w:vAlign w:val="bottom"/>
            <w:tcBorders>
              <w:bottom w:val="single" w:sz="8" w:color="CCEEFF"/>
            </w:tcBorders>
            <w:gridSpan w:val="3"/>
            <w:shd w:val="clear" w:color="auto" w:fill="CCEEFF"/>
          </w:tcPr>
          <w:p>
            <w:pPr>
              <w:jc w:val="right"/>
              <w:ind w:right="180"/>
              <w:spacing w:after="0" w:line="194" w:lineRule="exact"/>
              <w:rPr>
                <w:sz w:val="20"/>
                <w:szCs w:val="20"/>
                <w:color w:val="auto"/>
              </w:rPr>
            </w:pPr>
            <w:r>
              <w:rPr>
                <w:rFonts w:ascii="Arial" w:cs="Arial" w:eastAsia="Arial" w:hAnsi="Arial"/>
                <w:sz w:val="18"/>
                <w:szCs w:val="18"/>
                <w:color w:val="auto"/>
              </w:rPr>
              <w:t>670,147</w:t>
            </w:r>
          </w:p>
        </w:tc>
        <w:tc>
          <w:tcPr>
            <w:tcW w:w="240" w:type="dxa"/>
            <w:vAlign w:val="bottom"/>
            <w:tcBorders>
              <w:bottom w:val="single" w:sz="8" w:color="CCEEFF"/>
            </w:tcBorders>
            <w:gridSpan w:val="3"/>
            <w:shd w:val="clear" w:color="auto" w:fill="CCEEFF"/>
          </w:tcPr>
          <w:p>
            <w:pPr>
              <w:spacing w:after="0"/>
              <w:rPr>
                <w:sz w:val="20"/>
                <w:szCs w:val="20"/>
                <w:color w:val="auto"/>
              </w:rPr>
            </w:pPr>
          </w:p>
        </w:tc>
        <w:tc>
          <w:tcPr>
            <w:tcW w:w="720" w:type="dxa"/>
            <w:vAlign w:val="bottom"/>
            <w:tcBorders>
              <w:bottom w:val="single" w:sz="8" w:color="auto"/>
            </w:tcBorders>
            <w:gridSpan w:val="2"/>
            <w:shd w:val="clear" w:color="auto" w:fill="CCEEFF"/>
          </w:tcPr>
          <w:p>
            <w:pPr>
              <w:jc w:val="right"/>
              <w:spacing w:after="0" w:line="194" w:lineRule="exact"/>
              <w:rPr>
                <w:sz w:val="20"/>
                <w:szCs w:val="20"/>
                <w:color w:val="auto"/>
              </w:rPr>
            </w:pPr>
            <w:r>
              <w:rPr>
                <w:rFonts w:ascii="Arial" w:cs="Arial" w:eastAsia="Arial" w:hAnsi="Arial"/>
                <w:sz w:val="18"/>
                <w:szCs w:val="18"/>
                <w:b w:val="1"/>
                <w:bCs w:val="1"/>
                <w:color w:val="auto"/>
                <w:w w:val="87"/>
              </w:rPr>
              <w:t>9,442,440</w:t>
            </w:r>
          </w:p>
        </w:tc>
        <w:tc>
          <w:tcPr>
            <w:tcW w:w="1700" w:type="dxa"/>
            <w:vAlign w:val="bottom"/>
            <w:tcBorders>
              <w:bottom w:val="single" w:sz="8" w:color="CCEEFF"/>
            </w:tcBorders>
            <w:gridSpan w:val="2"/>
            <w:shd w:val="clear" w:color="auto" w:fill="CCEEFF"/>
          </w:tcPr>
          <w:p>
            <w:pPr>
              <w:jc w:val="right"/>
              <w:spacing w:after="0" w:line="194" w:lineRule="exact"/>
              <w:rPr>
                <w:sz w:val="20"/>
                <w:szCs w:val="20"/>
                <w:color w:val="auto"/>
              </w:rPr>
            </w:pPr>
            <w:r>
              <w:rPr>
                <w:rFonts w:ascii="Arial" w:cs="Arial" w:eastAsia="Arial" w:hAnsi="Arial"/>
                <w:sz w:val="18"/>
                <w:szCs w:val="18"/>
                <w:color w:val="auto"/>
              </w:rPr>
              <w:t>47,000</w:t>
            </w:r>
          </w:p>
        </w:tc>
        <w:tc>
          <w:tcPr>
            <w:tcW w:w="340" w:type="dxa"/>
            <w:vAlign w:val="bottom"/>
            <w:tcBorders>
              <w:bottom w:val="single" w:sz="8" w:color="CCEEFF"/>
            </w:tcBorders>
            <w:gridSpan w:val="2"/>
            <w:shd w:val="clear" w:color="auto" w:fill="CCEEFF"/>
          </w:tcPr>
          <w:p>
            <w:pPr>
              <w:spacing w:after="0"/>
              <w:rPr>
                <w:sz w:val="20"/>
                <w:szCs w:val="20"/>
                <w:color w:val="auto"/>
              </w:rPr>
            </w:pPr>
          </w:p>
        </w:tc>
        <w:tc>
          <w:tcPr>
            <w:tcW w:w="820" w:type="dxa"/>
            <w:vAlign w:val="bottom"/>
            <w:tcBorders>
              <w:bottom w:val="single" w:sz="8" w:color="auto"/>
            </w:tcBorders>
            <w:gridSpan w:val="4"/>
            <w:shd w:val="clear" w:color="auto" w:fill="CCEEFF"/>
          </w:tcPr>
          <w:p>
            <w:pPr>
              <w:jc w:val="right"/>
              <w:spacing w:after="0" w:line="194" w:lineRule="exact"/>
              <w:rPr>
                <w:sz w:val="20"/>
                <w:szCs w:val="20"/>
                <w:color w:val="auto"/>
              </w:rPr>
            </w:pPr>
            <w:r>
              <w:rPr>
                <w:rFonts w:ascii="Arial" w:cs="Arial" w:eastAsia="Arial" w:hAnsi="Arial"/>
                <w:sz w:val="18"/>
                <w:szCs w:val="18"/>
                <w:b w:val="1"/>
                <w:bCs w:val="1"/>
                <w:color w:val="auto"/>
                <w:w w:val="88"/>
              </w:rPr>
              <w:t>10,159,587</w:t>
            </w: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188"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i w:val="1"/>
          <w:iCs w:val="1"/>
          <w:color w:val="auto"/>
        </w:rPr>
        <w:t>The disclosure under the section entitled “The Merger —  Interests of IVERIC’s Directors and Executive Officers in the Merger —  Golden Parachute Compensation” is hereby amended and supplemented by adding the following bolded and double underlined language and deleting the following strikethrough language in the second table on page 71 of the Definitive Proxy Statement: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1"/>
              </w:rPr>
              <w:t>Spread</w:t>
            </w:r>
          </w:p>
        </w:tc>
        <w:tc>
          <w:tcPr>
            <w:tcW w:w="220" w:type="dxa"/>
            <w:vAlign w:val="bottom"/>
          </w:tcPr>
          <w:p>
            <w:pPr>
              <w:spacing w:after="0"/>
              <w:rPr>
                <w:sz w:val="18"/>
                <w:szCs w:val="18"/>
                <w:color w:val="auto"/>
              </w:rPr>
            </w:pPr>
          </w:p>
        </w:tc>
        <w:tc>
          <w:tcPr>
            <w:tcW w:w="11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Total Value</w:t>
            </w:r>
          </w:p>
        </w:tc>
        <w:tc>
          <w:tcPr>
            <w:tcW w:w="10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Value of</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1"/>
              </w:rPr>
              <w:t>Value of</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2"/>
              </w:rPr>
              <w:t>of</w:t>
            </w:r>
          </w:p>
        </w:tc>
        <w:tc>
          <w:tcPr>
            <w:tcW w:w="10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Company</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Company</w:t>
            </w:r>
          </w:p>
        </w:tc>
        <w:tc>
          <w:tcPr>
            <w:tcW w:w="11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Company</w:t>
            </w:r>
          </w:p>
        </w:tc>
        <w:tc>
          <w:tcPr>
            <w:tcW w:w="220" w:type="dxa"/>
            <w:vAlign w:val="bottom"/>
          </w:tcPr>
          <w:p>
            <w:pPr>
              <w:spacing w:after="0"/>
              <w:rPr>
                <w:sz w:val="18"/>
                <w:szCs w:val="18"/>
                <w:color w:val="auto"/>
              </w:rPr>
            </w:pPr>
          </w:p>
        </w:tc>
        <w:tc>
          <w:tcPr>
            <w:tcW w:w="11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Company</w:t>
            </w:r>
          </w:p>
        </w:tc>
        <w:tc>
          <w:tcPr>
            <w:tcW w:w="220" w:type="dxa"/>
            <w:vAlign w:val="bottom"/>
          </w:tcPr>
          <w:p>
            <w:pPr>
              <w:spacing w:after="0"/>
              <w:rPr>
                <w:sz w:val="18"/>
                <w:szCs w:val="18"/>
                <w:color w:val="auto"/>
              </w:rPr>
            </w:pPr>
          </w:p>
        </w:tc>
        <w:tc>
          <w:tcPr>
            <w:tcW w:w="11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Company</w:t>
            </w:r>
          </w:p>
        </w:tc>
        <w:tc>
          <w:tcPr>
            <w:tcW w:w="10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RSUs</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RSUs</w:t>
            </w:r>
          </w:p>
        </w:tc>
        <w:tc>
          <w:tcPr>
            <w:tcW w:w="11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1"/>
              </w:rPr>
              <w:t>Options</w:t>
            </w:r>
          </w:p>
        </w:tc>
        <w:tc>
          <w:tcPr>
            <w:tcW w:w="220" w:type="dxa"/>
            <w:vAlign w:val="bottom"/>
          </w:tcPr>
          <w:p>
            <w:pPr>
              <w:spacing w:after="0"/>
              <w:rPr>
                <w:sz w:val="18"/>
                <w:szCs w:val="18"/>
                <w:color w:val="auto"/>
              </w:rPr>
            </w:pPr>
          </w:p>
        </w:tc>
        <w:tc>
          <w:tcPr>
            <w:tcW w:w="1120" w:type="dxa"/>
            <w:vAlign w:val="bottom"/>
            <w:gridSpan w:val="5"/>
          </w:tcPr>
          <w:p>
            <w:pPr>
              <w:jc w:val="center"/>
              <w:spacing w:after="0"/>
              <w:rPr>
                <w:sz w:val="20"/>
                <w:szCs w:val="20"/>
                <w:color w:val="auto"/>
              </w:rPr>
            </w:pPr>
            <w:r>
              <w:rPr>
                <w:rFonts w:ascii="Arial" w:cs="Arial" w:eastAsia="Arial" w:hAnsi="Arial"/>
                <w:sz w:val="18"/>
                <w:szCs w:val="18"/>
                <w:b w:val="1"/>
                <w:bCs w:val="1"/>
                <w:color w:val="auto"/>
                <w:w w:val="88"/>
              </w:rPr>
              <w:t>Options</w:t>
            </w:r>
          </w:p>
        </w:tc>
        <w:tc>
          <w:tcPr>
            <w:tcW w:w="220" w:type="dxa"/>
            <w:vAlign w:val="bottom"/>
          </w:tcPr>
          <w:p>
            <w:pPr>
              <w:spacing w:after="0"/>
              <w:rPr>
                <w:sz w:val="18"/>
                <w:szCs w:val="18"/>
                <w:color w:val="auto"/>
              </w:rPr>
            </w:pPr>
          </w:p>
        </w:tc>
        <w:tc>
          <w:tcPr>
            <w:tcW w:w="114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89"/>
              </w:rPr>
              <w:t>RSUs and</w:t>
            </w:r>
          </w:p>
        </w:tc>
        <w:tc>
          <w:tcPr>
            <w:tcW w:w="10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Vesting</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Vesting</w:t>
            </w:r>
          </w:p>
        </w:tc>
        <w:tc>
          <w:tcPr>
            <w:tcW w:w="11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9"/>
              </w:rPr>
              <w:t>Vesting</w:t>
            </w:r>
          </w:p>
        </w:tc>
        <w:tc>
          <w:tcPr>
            <w:tcW w:w="220" w:type="dxa"/>
            <w:vAlign w:val="bottom"/>
          </w:tcPr>
          <w:p>
            <w:pPr>
              <w:spacing w:after="0"/>
              <w:rPr>
                <w:sz w:val="18"/>
                <w:szCs w:val="18"/>
                <w:color w:val="auto"/>
              </w:rPr>
            </w:pPr>
          </w:p>
        </w:tc>
        <w:tc>
          <w:tcPr>
            <w:tcW w:w="1120" w:type="dxa"/>
            <w:vAlign w:val="bottom"/>
            <w:gridSpan w:val="5"/>
          </w:tcPr>
          <w:p>
            <w:pPr>
              <w:jc w:val="center"/>
              <w:spacing w:after="0"/>
              <w:rPr>
                <w:sz w:val="20"/>
                <w:szCs w:val="20"/>
                <w:color w:val="auto"/>
              </w:rPr>
            </w:pPr>
            <w:r>
              <w:rPr>
                <w:rFonts w:ascii="Arial" w:cs="Arial" w:eastAsia="Arial" w:hAnsi="Arial"/>
                <w:sz w:val="18"/>
                <w:szCs w:val="18"/>
                <w:b w:val="1"/>
                <w:bCs w:val="1"/>
                <w:color w:val="auto"/>
                <w:w w:val="86"/>
              </w:rPr>
              <w:t>Vesting</w:t>
            </w:r>
          </w:p>
        </w:tc>
        <w:tc>
          <w:tcPr>
            <w:tcW w:w="220" w:type="dxa"/>
            <w:vAlign w:val="bottom"/>
          </w:tcPr>
          <w:p>
            <w:pPr>
              <w:spacing w:after="0"/>
              <w:rPr>
                <w:sz w:val="18"/>
                <w:szCs w:val="18"/>
                <w:color w:val="auto"/>
              </w:rPr>
            </w:pPr>
          </w:p>
        </w:tc>
        <w:tc>
          <w:tcPr>
            <w:tcW w:w="11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Company</w:t>
            </w:r>
          </w:p>
        </w:tc>
        <w:tc>
          <w:tcPr>
            <w:tcW w:w="10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Upon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Upon</w:t>
            </w:r>
          </w:p>
        </w:tc>
        <w:tc>
          <w:tcPr>
            <w:tcW w:w="11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1"/>
              </w:rPr>
              <w:t>Upon</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center"/>
              <w:ind w:right="250"/>
              <w:spacing w:after="0"/>
              <w:rPr>
                <w:sz w:val="20"/>
                <w:szCs w:val="20"/>
                <w:color w:val="auto"/>
              </w:rPr>
            </w:pPr>
            <w:r>
              <w:rPr>
                <w:rFonts w:ascii="Arial" w:cs="Arial" w:eastAsia="Arial" w:hAnsi="Arial"/>
                <w:sz w:val="18"/>
                <w:szCs w:val="18"/>
                <w:b w:val="1"/>
                <w:bCs w:val="1"/>
                <w:color w:val="auto"/>
                <w:w w:val="91"/>
              </w:rPr>
              <w:t>Upon</w:t>
            </w:r>
          </w:p>
        </w:tc>
        <w:tc>
          <w:tcPr>
            <w:tcW w:w="220" w:type="dxa"/>
            <w:vAlign w:val="bottom"/>
          </w:tcPr>
          <w:p>
            <w:pPr>
              <w:spacing w:after="0"/>
              <w:rPr>
                <w:sz w:val="18"/>
                <w:szCs w:val="18"/>
                <w:color w:val="auto"/>
              </w:rPr>
            </w:pPr>
          </w:p>
        </w:tc>
        <w:tc>
          <w:tcPr>
            <w:tcW w:w="1140" w:type="dxa"/>
            <w:vAlign w:val="bottom"/>
            <w:gridSpan w:val="5"/>
          </w:tcPr>
          <w:p>
            <w:pPr>
              <w:jc w:val="center"/>
              <w:spacing w:after="0"/>
              <w:rPr>
                <w:sz w:val="20"/>
                <w:szCs w:val="20"/>
                <w:color w:val="auto"/>
              </w:rPr>
            </w:pPr>
            <w:r>
              <w:rPr>
                <w:rFonts w:ascii="Arial" w:cs="Arial" w:eastAsia="Arial" w:hAnsi="Arial"/>
                <w:sz w:val="18"/>
                <w:szCs w:val="18"/>
                <w:b w:val="1"/>
                <w:bCs w:val="1"/>
                <w:color w:val="auto"/>
                <w:w w:val="91"/>
              </w:rPr>
              <w:t>Options</w:t>
            </w:r>
          </w:p>
        </w:tc>
        <w:tc>
          <w:tcPr>
            <w:tcW w:w="100" w:type="dxa"/>
            <w:vAlign w:val="bottom"/>
          </w:tcPr>
          <w:p>
            <w:pPr>
              <w:spacing w:after="0"/>
              <w:rPr>
                <w:sz w:val="18"/>
                <w:szCs w:val="18"/>
                <w:color w:val="auto"/>
              </w:rPr>
            </w:pPr>
          </w:p>
        </w:tc>
      </w:tr>
      <w:tr>
        <w:trPr>
          <w:trHeight w:val="234"/>
        </w:trPr>
        <w:tc>
          <w:tcPr>
            <w:tcW w:w="44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Closing (#)</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Closing ($)</w:t>
            </w:r>
          </w:p>
        </w:tc>
        <w:tc>
          <w:tcPr>
            <w:tcW w:w="112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8"/>
              </w:rPr>
              <w:t>Closing (#)</w:t>
            </w:r>
          </w:p>
        </w:tc>
        <w:tc>
          <w:tcPr>
            <w:tcW w:w="220" w:type="dxa"/>
            <w:vAlign w:val="bottom"/>
          </w:tcPr>
          <w:p>
            <w:pPr>
              <w:spacing w:after="0"/>
              <w:rPr>
                <w:sz w:val="20"/>
                <w:szCs w:val="20"/>
                <w:color w:val="auto"/>
              </w:rPr>
            </w:pPr>
          </w:p>
        </w:tc>
        <w:tc>
          <w:tcPr>
            <w:tcW w:w="1120" w:type="dxa"/>
            <w:vAlign w:val="bottom"/>
            <w:gridSpan w:val="5"/>
          </w:tcPr>
          <w:p>
            <w:pPr>
              <w:jc w:val="center"/>
              <w:spacing w:after="0"/>
              <w:rPr>
                <w:sz w:val="20"/>
                <w:szCs w:val="20"/>
                <w:color w:val="auto"/>
              </w:rPr>
            </w:pPr>
            <w:r>
              <w:rPr>
                <w:rFonts w:ascii="Arial" w:cs="Arial" w:eastAsia="Arial" w:hAnsi="Arial"/>
                <w:sz w:val="18"/>
                <w:szCs w:val="18"/>
                <w:b w:val="1"/>
                <w:bCs w:val="1"/>
                <w:color w:val="auto"/>
                <w:w w:val="90"/>
              </w:rPr>
              <w:t>Closing ($)</w:t>
            </w:r>
          </w:p>
        </w:tc>
        <w:tc>
          <w:tcPr>
            <w:tcW w:w="220" w:type="dxa"/>
            <w:vAlign w:val="bottom"/>
          </w:tcPr>
          <w:p>
            <w:pPr>
              <w:spacing w:after="0"/>
              <w:rPr>
                <w:sz w:val="20"/>
                <w:szCs w:val="20"/>
                <w:color w:val="auto"/>
              </w:rPr>
            </w:pPr>
          </w:p>
        </w:tc>
        <w:tc>
          <w:tcPr>
            <w:tcW w:w="1140" w:type="dxa"/>
            <w:vAlign w:val="bottom"/>
            <w:gridSpan w:val="5"/>
          </w:tcPr>
          <w:p>
            <w:pPr>
              <w:jc w:val="center"/>
              <w:spacing w:after="0"/>
              <w:rPr>
                <w:sz w:val="20"/>
                <w:szCs w:val="20"/>
                <w:color w:val="auto"/>
              </w:rPr>
            </w:pPr>
            <w:r>
              <w:rPr>
                <w:rFonts w:ascii="Arial" w:cs="Arial" w:eastAsia="Arial" w:hAnsi="Arial"/>
                <w:sz w:val="18"/>
                <w:szCs w:val="18"/>
                <w:b w:val="1"/>
                <w:bCs w:val="1"/>
                <w:color w:val="auto"/>
                <w:w w:val="89"/>
              </w:rPr>
              <w:t>Vesting ($)</w:t>
            </w:r>
          </w:p>
        </w:tc>
        <w:tc>
          <w:tcPr>
            <w:tcW w:w="100" w:type="dxa"/>
            <w:vAlign w:val="bottom"/>
          </w:tcPr>
          <w:p>
            <w:pPr>
              <w:spacing w:after="0"/>
              <w:rPr>
                <w:sz w:val="20"/>
                <w:szCs w:val="20"/>
                <w:color w:val="auto"/>
              </w:rPr>
            </w:pPr>
          </w:p>
        </w:tc>
      </w:tr>
      <w:tr>
        <w:trPr>
          <w:trHeight w:val="191"/>
        </w:trPr>
        <w:tc>
          <w:tcPr>
            <w:tcW w:w="44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gridSpan w:val="2"/>
            <w:shd w:val="clear" w:color="auto" w:fill="CCEEFF"/>
          </w:tcPr>
          <w:p>
            <w:pPr>
              <w:jc w:val="right"/>
              <w:spacing w:after="0" w:line="191" w:lineRule="exact"/>
              <w:rPr>
                <w:sz w:val="20"/>
                <w:szCs w:val="20"/>
                <w:color w:val="auto"/>
              </w:rPr>
            </w:pPr>
            <w:r>
              <w:rPr>
                <w:rFonts w:ascii="Arial" w:cs="Arial" w:eastAsia="Arial" w:hAnsi="Arial"/>
                <w:sz w:val="18"/>
                <w:szCs w:val="18"/>
                <w:color w:val="auto"/>
                <w:strike w:val="1"/>
                <w:w w:val="89"/>
              </w:rPr>
              <w:t>606,498</w:t>
            </w:r>
          </w:p>
        </w:tc>
        <w:tc>
          <w:tcPr>
            <w:tcW w:w="22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gridSpan w:val="4"/>
            <w:shd w:val="clear" w:color="auto" w:fill="CCEEFF"/>
          </w:tcPr>
          <w:p>
            <w:pPr>
              <w:jc w:val="right"/>
              <w:spacing w:after="0" w:line="191" w:lineRule="exact"/>
              <w:rPr>
                <w:sz w:val="20"/>
                <w:szCs w:val="20"/>
                <w:color w:val="auto"/>
              </w:rPr>
            </w:pPr>
            <w:r>
              <w:rPr>
                <w:rFonts w:ascii="Arial" w:cs="Arial" w:eastAsia="Arial" w:hAnsi="Arial"/>
                <w:sz w:val="18"/>
                <w:szCs w:val="18"/>
                <w:color w:val="auto"/>
                <w:strike w:val="1"/>
                <w:w w:val="88"/>
              </w:rPr>
              <w:t>14,060,367</w:t>
            </w:r>
          </w:p>
        </w:tc>
        <w:tc>
          <w:tcPr>
            <w:tcW w:w="220" w:type="dxa"/>
            <w:vAlign w:val="bottom"/>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gridSpan w:val="3"/>
            <w:shd w:val="clear" w:color="auto" w:fill="CCEEFF"/>
          </w:tcPr>
          <w:p>
            <w:pPr>
              <w:jc w:val="right"/>
              <w:spacing w:after="0" w:line="191" w:lineRule="exact"/>
              <w:rPr>
                <w:sz w:val="20"/>
                <w:szCs w:val="20"/>
                <w:color w:val="auto"/>
              </w:rPr>
            </w:pPr>
            <w:r>
              <w:rPr>
                <w:rFonts w:ascii="Arial" w:cs="Arial" w:eastAsia="Arial" w:hAnsi="Arial"/>
                <w:sz w:val="18"/>
                <w:szCs w:val="18"/>
                <w:color w:val="auto"/>
                <w:strike w:val="1"/>
                <w:w w:val="86"/>
              </w:rPr>
              <w:t>27,722,967</w:t>
            </w: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4400" w:type="dxa"/>
            <w:vAlign w:val="bottom"/>
            <w:shd w:val="clear" w:color="auto" w:fill="CCEEFF"/>
          </w:tcPr>
          <w:p>
            <w:pPr>
              <w:spacing w:after="0" w:line="194" w:lineRule="exact"/>
              <w:rPr>
                <w:sz w:val="20"/>
                <w:szCs w:val="20"/>
                <w:color w:val="auto"/>
              </w:rPr>
            </w:pPr>
            <w:r>
              <w:rPr>
                <w:rFonts w:ascii="Arial" w:cs="Arial" w:eastAsia="Arial" w:hAnsi="Arial"/>
                <w:sz w:val="18"/>
                <w:szCs w:val="18"/>
                <w:color w:val="auto"/>
              </w:rPr>
              <w:t>Glenn P. Sblendorio</w:t>
            </w:r>
          </w:p>
        </w:tc>
        <w:tc>
          <w:tcPr>
            <w:tcW w:w="1560" w:type="dxa"/>
            <w:vAlign w:val="bottom"/>
            <w:gridSpan w:val="3"/>
            <w:shd w:val="clear" w:color="auto" w:fill="CCEEFF"/>
          </w:tcPr>
          <w:p>
            <w:pPr>
              <w:jc w:val="right"/>
              <w:ind w:right="220"/>
              <w:spacing w:after="0" w:line="194" w:lineRule="exact"/>
              <w:rPr>
                <w:sz w:val="20"/>
                <w:szCs w:val="20"/>
                <w:color w:val="auto"/>
              </w:rPr>
            </w:pPr>
            <w:r>
              <w:rPr>
                <w:rFonts w:ascii="Arial" w:cs="Arial" w:eastAsia="Arial" w:hAnsi="Arial"/>
                <w:sz w:val="18"/>
                <w:szCs w:val="18"/>
                <w:color w:val="auto"/>
              </w:rPr>
              <w:t>341,565</w:t>
            </w:r>
          </w:p>
        </w:tc>
        <w:tc>
          <w:tcPr>
            <w:tcW w:w="1360" w:type="dxa"/>
            <w:vAlign w:val="bottom"/>
            <w:gridSpan w:val="2"/>
            <w:shd w:val="clear" w:color="auto" w:fill="CCEEFF"/>
          </w:tcPr>
          <w:p>
            <w:pPr>
              <w:jc w:val="right"/>
              <w:ind w:right="240"/>
              <w:spacing w:after="0" w:line="194" w:lineRule="exact"/>
              <w:rPr>
                <w:sz w:val="20"/>
                <w:szCs w:val="20"/>
                <w:color w:val="auto"/>
              </w:rPr>
            </w:pPr>
            <w:r>
              <w:rPr>
                <w:rFonts w:ascii="Arial" w:cs="Arial" w:eastAsia="Arial" w:hAnsi="Arial"/>
                <w:sz w:val="18"/>
                <w:szCs w:val="18"/>
                <w:color w:val="auto"/>
              </w:rPr>
              <w:t>13,662,600</w:t>
            </w:r>
          </w:p>
        </w:tc>
        <w:tc>
          <w:tcPr>
            <w:tcW w:w="5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8"/>
                <w:szCs w:val="18"/>
                <w:b w:val="1"/>
                <w:bCs w:val="1"/>
                <w:color w:val="auto"/>
                <w:w w:val="89"/>
              </w:rPr>
              <w:t>606,497</w:t>
            </w:r>
          </w:p>
        </w:tc>
        <w:tc>
          <w:tcPr>
            <w:tcW w:w="520" w:type="dxa"/>
            <w:vAlign w:val="bottom"/>
            <w:gridSpan w:val="2"/>
            <w:shd w:val="clear" w:color="auto" w:fill="CCEEFF"/>
          </w:tcPr>
          <w:p>
            <w:pPr>
              <w:spacing w:after="0"/>
              <w:rPr>
                <w:sz w:val="20"/>
                <w:szCs w:val="20"/>
                <w:color w:val="auto"/>
              </w:rPr>
            </w:pPr>
          </w:p>
        </w:tc>
        <w:tc>
          <w:tcPr>
            <w:tcW w:w="820" w:type="dxa"/>
            <w:vAlign w:val="bottom"/>
            <w:gridSpan w:val="4"/>
            <w:shd w:val="clear" w:color="auto" w:fill="CCEEFF"/>
          </w:tcPr>
          <w:p>
            <w:pPr>
              <w:jc w:val="right"/>
              <w:spacing w:after="0" w:line="194" w:lineRule="exact"/>
              <w:rPr>
                <w:sz w:val="20"/>
                <w:szCs w:val="20"/>
                <w:color w:val="auto"/>
              </w:rPr>
            </w:pPr>
            <w:r>
              <w:rPr>
                <w:rFonts w:ascii="Arial" w:cs="Arial" w:eastAsia="Arial" w:hAnsi="Arial"/>
                <w:sz w:val="18"/>
                <w:szCs w:val="18"/>
                <w:b w:val="1"/>
                <w:bCs w:val="1"/>
                <w:color w:val="auto"/>
                <w:w w:val="88"/>
              </w:rPr>
              <w:t>14,060,369</w:t>
            </w:r>
          </w:p>
        </w:tc>
        <w:tc>
          <w:tcPr>
            <w:tcW w:w="1340" w:type="dxa"/>
            <w:vAlign w:val="bottom"/>
            <w:gridSpan w:val="5"/>
            <w:shd w:val="clear" w:color="auto" w:fill="CCEEFF"/>
          </w:tcPr>
          <w:p>
            <w:pPr>
              <w:jc w:val="right"/>
              <w:spacing w:after="0" w:line="194" w:lineRule="exact"/>
              <w:rPr>
                <w:sz w:val="20"/>
                <w:szCs w:val="20"/>
                <w:color w:val="auto"/>
              </w:rPr>
            </w:pPr>
            <w:r>
              <w:rPr>
                <w:rFonts w:ascii="Arial" w:cs="Arial" w:eastAsia="Arial" w:hAnsi="Arial"/>
                <w:sz w:val="18"/>
                <w:szCs w:val="18"/>
                <w:b w:val="1"/>
                <w:bCs w:val="1"/>
                <w:color w:val="auto"/>
              </w:rPr>
              <w:t>27,722,969</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178"/>
        </w:trPr>
        <w:tc>
          <w:tcPr>
            <w:tcW w:w="440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120" w:type="dxa"/>
            <w:vAlign w:val="bottom"/>
            <w:tcBorders>
              <w:top w:val="single" w:sz="8" w:color="CCEEFF"/>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gridSpan w:val="2"/>
          </w:tcPr>
          <w:p>
            <w:pPr>
              <w:jc w:val="right"/>
              <w:spacing w:after="0" w:line="177" w:lineRule="exact"/>
              <w:rPr>
                <w:sz w:val="20"/>
                <w:szCs w:val="20"/>
                <w:color w:val="auto"/>
              </w:rPr>
            </w:pPr>
            <w:r>
              <w:rPr>
                <w:rFonts w:ascii="Arial" w:cs="Arial" w:eastAsia="Arial" w:hAnsi="Arial"/>
                <w:sz w:val="18"/>
                <w:szCs w:val="18"/>
                <w:color w:val="auto"/>
                <w:strike w:val="1"/>
                <w:w w:val="87"/>
              </w:rPr>
              <w:t>8,588,142</w:t>
            </w:r>
          </w:p>
        </w:tc>
        <w:tc>
          <w:tcPr>
            <w:tcW w:w="220" w:type="dxa"/>
            <w:vAlign w:val="bottom"/>
            <w:tcBorders>
              <w:top w:val="single" w:sz="8" w:color="CCEEFF"/>
            </w:tcBorders>
          </w:tcPr>
          <w:p>
            <w:pPr>
              <w:spacing w:after="0"/>
              <w:rPr>
                <w:sz w:val="15"/>
                <w:szCs w:val="15"/>
                <w:color w:val="auto"/>
              </w:rPr>
            </w:pPr>
          </w:p>
        </w:tc>
        <w:tc>
          <w:tcPr>
            <w:tcW w:w="320" w:type="dxa"/>
            <w:vAlign w:val="bottom"/>
            <w:tcBorders>
              <w:top w:val="single" w:sz="8" w:color="CCEEFF"/>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gridSpan w:val="2"/>
          </w:tcPr>
          <w:p>
            <w:pPr>
              <w:jc w:val="right"/>
              <w:spacing w:after="0" w:line="177" w:lineRule="exact"/>
              <w:rPr>
                <w:sz w:val="20"/>
                <w:szCs w:val="20"/>
                <w:color w:val="auto"/>
              </w:rPr>
            </w:pPr>
            <w:r>
              <w:rPr>
                <w:rFonts w:ascii="Arial" w:cs="Arial" w:eastAsia="Arial" w:hAnsi="Arial"/>
                <w:sz w:val="18"/>
                <w:szCs w:val="18"/>
                <w:color w:val="auto"/>
                <w:strike w:val="1"/>
                <w:w w:val="84"/>
              </w:rPr>
              <w:t>16,333,142</w:t>
            </w:r>
          </w:p>
        </w:tc>
        <w:tc>
          <w:tcPr>
            <w:tcW w:w="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194"/>
        </w:trPr>
        <w:tc>
          <w:tcPr>
            <w:tcW w:w="4400" w:type="dxa"/>
            <w:vAlign w:val="bottom"/>
          </w:tcPr>
          <w:p>
            <w:pPr>
              <w:spacing w:after="0" w:line="194" w:lineRule="exact"/>
              <w:rPr>
                <w:sz w:val="20"/>
                <w:szCs w:val="20"/>
                <w:color w:val="auto"/>
              </w:rPr>
            </w:pPr>
            <w:r>
              <w:rPr>
                <w:rFonts w:ascii="Arial" w:cs="Arial" w:eastAsia="Arial" w:hAnsi="Arial"/>
                <w:sz w:val="18"/>
                <w:szCs w:val="18"/>
                <w:color w:val="auto"/>
              </w:rPr>
              <w:t>Pravin U. Dugel</w:t>
            </w:r>
          </w:p>
        </w:tc>
        <w:tc>
          <w:tcPr>
            <w:tcW w:w="1560" w:type="dxa"/>
            <w:vAlign w:val="bottom"/>
            <w:gridSpan w:val="3"/>
          </w:tcPr>
          <w:p>
            <w:pPr>
              <w:jc w:val="right"/>
              <w:ind w:right="220"/>
              <w:spacing w:after="0" w:line="194" w:lineRule="exact"/>
              <w:rPr>
                <w:sz w:val="20"/>
                <w:szCs w:val="20"/>
                <w:color w:val="auto"/>
              </w:rPr>
            </w:pPr>
            <w:r>
              <w:rPr>
                <w:rFonts w:ascii="Arial" w:cs="Arial" w:eastAsia="Arial" w:hAnsi="Arial"/>
                <w:sz w:val="18"/>
                <w:szCs w:val="18"/>
                <w:color w:val="auto"/>
              </w:rPr>
              <w:t>193,625</w:t>
            </w:r>
          </w:p>
        </w:tc>
        <w:tc>
          <w:tcPr>
            <w:tcW w:w="1360" w:type="dxa"/>
            <w:vAlign w:val="bottom"/>
            <w:gridSpan w:val="2"/>
          </w:tcPr>
          <w:p>
            <w:pPr>
              <w:jc w:val="right"/>
              <w:ind w:right="240"/>
              <w:spacing w:after="0" w:line="194" w:lineRule="exact"/>
              <w:rPr>
                <w:sz w:val="20"/>
                <w:szCs w:val="20"/>
                <w:color w:val="auto"/>
              </w:rPr>
            </w:pPr>
            <w:r>
              <w:rPr>
                <w:rFonts w:ascii="Arial" w:cs="Arial" w:eastAsia="Arial" w:hAnsi="Arial"/>
                <w:sz w:val="18"/>
                <w:szCs w:val="18"/>
                <w:color w:val="auto"/>
              </w:rPr>
              <w:t>7,745,000</w:t>
            </w:r>
          </w:p>
        </w:tc>
        <w:tc>
          <w:tcPr>
            <w:tcW w:w="1120" w:type="dxa"/>
            <w:vAlign w:val="bottom"/>
            <w:gridSpan w:val="3"/>
          </w:tcPr>
          <w:p>
            <w:pPr>
              <w:jc w:val="right"/>
              <w:spacing w:after="0" w:line="194" w:lineRule="exact"/>
              <w:rPr>
                <w:sz w:val="20"/>
                <w:szCs w:val="20"/>
                <w:color w:val="auto"/>
              </w:rPr>
            </w:pPr>
            <w:r>
              <w:rPr>
                <w:rFonts w:ascii="Arial" w:cs="Arial" w:eastAsia="Arial" w:hAnsi="Arial"/>
                <w:sz w:val="18"/>
                <w:szCs w:val="18"/>
                <w:color w:val="auto"/>
              </w:rPr>
              <w:t>334,375</w:t>
            </w:r>
          </w:p>
        </w:tc>
        <w:tc>
          <w:tcPr>
            <w:tcW w:w="1340" w:type="dxa"/>
            <w:vAlign w:val="bottom"/>
            <w:gridSpan w:val="6"/>
          </w:tcPr>
          <w:p>
            <w:pPr>
              <w:jc w:val="right"/>
              <w:spacing w:after="0" w:line="194" w:lineRule="exact"/>
              <w:rPr>
                <w:sz w:val="20"/>
                <w:szCs w:val="20"/>
                <w:color w:val="auto"/>
              </w:rPr>
            </w:pPr>
            <w:r>
              <w:rPr>
                <w:rFonts w:ascii="Arial" w:cs="Arial" w:eastAsia="Arial" w:hAnsi="Arial"/>
                <w:sz w:val="18"/>
                <w:szCs w:val="18"/>
                <w:b w:val="1"/>
                <w:bCs w:val="1"/>
                <w:color w:val="auto"/>
              </w:rPr>
              <w:t>8,588,144</w:t>
            </w:r>
          </w:p>
        </w:tc>
        <w:tc>
          <w:tcPr>
            <w:tcW w:w="1340" w:type="dxa"/>
            <w:vAlign w:val="bottom"/>
            <w:gridSpan w:val="5"/>
          </w:tcPr>
          <w:p>
            <w:pPr>
              <w:jc w:val="right"/>
              <w:spacing w:after="0" w:line="194" w:lineRule="exact"/>
              <w:rPr>
                <w:sz w:val="20"/>
                <w:szCs w:val="20"/>
                <w:color w:val="auto"/>
              </w:rPr>
            </w:pPr>
            <w:r>
              <w:rPr>
                <w:rFonts w:ascii="Arial" w:cs="Arial" w:eastAsia="Arial" w:hAnsi="Arial"/>
                <w:sz w:val="18"/>
                <w:szCs w:val="18"/>
                <w:b w:val="1"/>
                <w:bCs w:val="1"/>
                <w:color w:val="auto"/>
              </w:rPr>
              <w:t>16,333,144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78"/>
        </w:trPr>
        <w:tc>
          <w:tcPr>
            <w:tcW w:w="4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7" w:lineRule="exact"/>
              <w:rPr>
                <w:sz w:val="20"/>
                <w:szCs w:val="20"/>
                <w:color w:val="auto"/>
              </w:rPr>
            </w:pPr>
            <w:r>
              <w:rPr>
                <w:rFonts w:ascii="Arial" w:cs="Arial" w:eastAsia="Arial" w:hAnsi="Arial"/>
                <w:sz w:val="18"/>
                <w:szCs w:val="18"/>
                <w:color w:val="auto"/>
                <w:strike w:val="1"/>
                <w:w w:val="84"/>
              </w:rPr>
              <w:t>4,304,978</w:t>
            </w: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7" w:lineRule="exact"/>
              <w:rPr>
                <w:sz w:val="20"/>
                <w:szCs w:val="20"/>
                <w:color w:val="auto"/>
              </w:rPr>
            </w:pPr>
            <w:r>
              <w:rPr>
                <w:rFonts w:ascii="Arial" w:cs="Arial" w:eastAsia="Arial" w:hAnsi="Arial"/>
                <w:sz w:val="18"/>
                <w:szCs w:val="18"/>
                <w:color w:val="auto"/>
                <w:strike w:val="1"/>
                <w:w w:val="87"/>
              </w:rPr>
              <w:t>8,404,978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4"/>
        </w:trPr>
        <w:tc>
          <w:tcPr>
            <w:tcW w:w="440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David F. Carroll</w:t>
            </w:r>
          </w:p>
        </w:tc>
        <w:tc>
          <w:tcPr>
            <w:tcW w:w="1560" w:type="dxa"/>
            <w:vAlign w:val="bottom"/>
            <w:tcBorders>
              <w:bottom w:val="single" w:sz="8" w:color="CCEEFF"/>
            </w:tcBorders>
            <w:gridSpan w:val="3"/>
            <w:shd w:val="clear" w:color="auto" w:fill="CCEEFF"/>
          </w:tcPr>
          <w:p>
            <w:pPr>
              <w:jc w:val="right"/>
              <w:ind w:right="220"/>
              <w:spacing w:after="0" w:line="194" w:lineRule="exact"/>
              <w:rPr>
                <w:sz w:val="20"/>
                <w:szCs w:val="20"/>
                <w:color w:val="auto"/>
              </w:rPr>
            </w:pPr>
            <w:r>
              <w:rPr>
                <w:rFonts w:ascii="Arial" w:cs="Arial" w:eastAsia="Arial" w:hAnsi="Arial"/>
                <w:sz w:val="18"/>
                <w:szCs w:val="18"/>
                <w:color w:val="auto"/>
              </w:rPr>
              <w:t>102,500</w:t>
            </w:r>
          </w:p>
        </w:tc>
        <w:tc>
          <w:tcPr>
            <w:tcW w:w="1360" w:type="dxa"/>
            <w:vAlign w:val="bottom"/>
            <w:tcBorders>
              <w:bottom w:val="single" w:sz="8" w:color="CCEEFF"/>
            </w:tcBorders>
            <w:gridSpan w:val="2"/>
            <w:shd w:val="clear" w:color="auto" w:fill="CCEEFF"/>
          </w:tcPr>
          <w:p>
            <w:pPr>
              <w:jc w:val="right"/>
              <w:ind w:right="240"/>
              <w:spacing w:after="0" w:line="194" w:lineRule="exact"/>
              <w:rPr>
                <w:sz w:val="20"/>
                <w:szCs w:val="20"/>
                <w:color w:val="auto"/>
              </w:rPr>
            </w:pPr>
            <w:r>
              <w:rPr>
                <w:rFonts w:ascii="Arial" w:cs="Arial" w:eastAsia="Arial" w:hAnsi="Arial"/>
                <w:sz w:val="18"/>
                <w:szCs w:val="18"/>
                <w:color w:val="auto"/>
              </w:rPr>
              <w:t>4,100,000</w:t>
            </w:r>
          </w:p>
        </w:tc>
        <w:tc>
          <w:tcPr>
            <w:tcW w:w="1120" w:type="dxa"/>
            <w:vAlign w:val="bottom"/>
            <w:tcBorders>
              <w:bottom w:val="single" w:sz="8" w:color="CCEEFF"/>
            </w:tcBorders>
            <w:gridSpan w:val="3"/>
            <w:shd w:val="clear" w:color="auto" w:fill="CCEEFF"/>
          </w:tcPr>
          <w:p>
            <w:pPr>
              <w:jc w:val="right"/>
              <w:spacing w:after="0" w:line="194" w:lineRule="exact"/>
              <w:rPr>
                <w:sz w:val="20"/>
                <w:szCs w:val="20"/>
                <w:color w:val="auto"/>
              </w:rPr>
            </w:pPr>
            <w:r>
              <w:rPr>
                <w:rFonts w:ascii="Arial" w:cs="Arial" w:eastAsia="Arial" w:hAnsi="Arial"/>
                <w:sz w:val="18"/>
                <w:szCs w:val="18"/>
                <w:color w:val="auto"/>
              </w:rPr>
              <w:t>176,666</w:t>
            </w:r>
          </w:p>
        </w:tc>
        <w:tc>
          <w:tcPr>
            <w:tcW w:w="620" w:type="dxa"/>
            <w:vAlign w:val="bottom"/>
            <w:tcBorders>
              <w:bottom w:val="single" w:sz="8" w:color="CCEEFF"/>
            </w:tcBorders>
            <w:gridSpan w:val="4"/>
            <w:shd w:val="clear" w:color="auto" w:fill="CCEEFF"/>
          </w:tcPr>
          <w:p>
            <w:pPr>
              <w:spacing w:after="0"/>
              <w:rPr>
                <w:sz w:val="20"/>
                <w:szCs w:val="20"/>
                <w:color w:val="auto"/>
              </w:rPr>
            </w:pPr>
          </w:p>
        </w:tc>
        <w:tc>
          <w:tcPr>
            <w:tcW w:w="720" w:type="dxa"/>
            <w:vAlign w:val="bottom"/>
            <w:tcBorders>
              <w:bottom w:val="single" w:sz="8" w:color="auto"/>
            </w:tcBorders>
            <w:gridSpan w:val="2"/>
            <w:shd w:val="clear" w:color="auto" w:fill="CCEEFF"/>
          </w:tcPr>
          <w:p>
            <w:pPr>
              <w:jc w:val="right"/>
              <w:spacing w:after="0" w:line="194" w:lineRule="exact"/>
              <w:rPr>
                <w:sz w:val="20"/>
                <w:szCs w:val="20"/>
                <w:color w:val="auto"/>
              </w:rPr>
            </w:pPr>
            <w:r>
              <w:rPr>
                <w:rFonts w:ascii="Arial" w:cs="Arial" w:eastAsia="Arial" w:hAnsi="Arial"/>
                <w:sz w:val="18"/>
                <w:szCs w:val="18"/>
                <w:b w:val="1"/>
                <w:bCs w:val="1"/>
                <w:color w:val="auto"/>
                <w:w w:val="87"/>
              </w:rPr>
              <w:t>4,304,957</w:t>
            </w:r>
          </w:p>
        </w:tc>
        <w:tc>
          <w:tcPr>
            <w:tcW w:w="620" w:type="dxa"/>
            <w:vAlign w:val="bottom"/>
            <w:tcBorders>
              <w:bottom w:val="single" w:sz="8" w:color="CCEEFF"/>
            </w:tcBorders>
            <w:gridSpan w:val="4"/>
            <w:shd w:val="clear" w:color="auto" w:fill="CCEEFF"/>
          </w:tcPr>
          <w:p>
            <w:pPr>
              <w:spacing w:after="0"/>
              <w:rPr>
                <w:sz w:val="20"/>
                <w:szCs w:val="20"/>
                <w:color w:val="auto"/>
              </w:rPr>
            </w:pPr>
          </w:p>
        </w:tc>
        <w:tc>
          <w:tcPr>
            <w:tcW w:w="740" w:type="dxa"/>
            <w:vAlign w:val="bottom"/>
            <w:tcBorders>
              <w:bottom w:val="single" w:sz="8" w:color="auto"/>
            </w:tcBorders>
            <w:gridSpan w:val="2"/>
            <w:shd w:val="clear" w:color="auto" w:fill="CCEEFF"/>
          </w:tcPr>
          <w:p>
            <w:pPr>
              <w:jc w:val="right"/>
              <w:ind w:right="20"/>
              <w:spacing w:after="0" w:line="194" w:lineRule="exact"/>
              <w:rPr>
                <w:sz w:val="20"/>
                <w:szCs w:val="20"/>
                <w:color w:val="auto"/>
              </w:rPr>
            </w:pPr>
            <w:r>
              <w:rPr>
                <w:rFonts w:ascii="Arial" w:cs="Arial" w:eastAsia="Arial" w:hAnsi="Arial"/>
                <w:sz w:val="18"/>
                <w:szCs w:val="18"/>
                <w:b w:val="1"/>
                <w:bCs w:val="1"/>
                <w:color w:val="auto"/>
                <w:w w:val="87"/>
              </w:rPr>
              <w:t>8,404,957</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78"/>
        </w:trPr>
        <w:tc>
          <w:tcPr>
            <w:tcW w:w="4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gridSpan w:val="2"/>
          </w:tcPr>
          <w:p>
            <w:pPr>
              <w:jc w:val="right"/>
              <w:spacing w:after="0" w:line="177" w:lineRule="exact"/>
              <w:rPr>
                <w:sz w:val="20"/>
                <w:szCs w:val="20"/>
                <w:color w:val="auto"/>
              </w:rPr>
            </w:pPr>
            <w:r>
              <w:rPr>
                <w:rFonts w:ascii="Arial" w:cs="Arial" w:eastAsia="Arial" w:hAnsi="Arial"/>
                <w:sz w:val="18"/>
                <w:szCs w:val="18"/>
                <w:color w:val="auto"/>
                <w:strike w:val="1"/>
                <w:w w:val="89"/>
              </w:rPr>
              <w:t>170,729</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jc w:val="right"/>
              <w:spacing w:after="0" w:line="177" w:lineRule="exact"/>
              <w:rPr>
                <w:sz w:val="20"/>
                <w:szCs w:val="20"/>
                <w:color w:val="auto"/>
              </w:rPr>
            </w:pPr>
            <w:r>
              <w:rPr>
                <w:rFonts w:ascii="Arial" w:cs="Arial" w:eastAsia="Arial" w:hAnsi="Arial"/>
                <w:sz w:val="18"/>
                <w:szCs w:val="18"/>
                <w:color w:val="auto"/>
                <w:strike w:val="1"/>
                <w:w w:val="84"/>
              </w:rPr>
              <w:t>4,112,008</w:t>
            </w: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right"/>
              <w:spacing w:after="0" w:line="177" w:lineRule="exact"/>
              <w:rPr>
                <w:sz w:val="20"/>
                <w:szCs w:val="20"/>
                <w:color w:val="auto"/>
              </w:rPr>
            </w:pPr>
            <w:r>
              <w:rPr>
                <w:rFonts w:ascii="Arial" w:cs="Arial" w:eastAsia="Arial" w:hAnsi="Arial"/>
                <w:sz w:val="18"/>
                <w:szCs w:val="18"/>
                <w:color w:val="auto"/>
                <w:strike w:val="1"/>
                <w:w w:val="87"/>
              </w:rPr>
              <w:t>8,062,008</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4"/>
        </w:trPr>
        <w:tc>
          <w:tcPr>
            <w:tcW w:w="4400" w:type="dxa"/>
            <w:vAlign w:val="bottom"/>
          </w:tcPr>
          <w:p>
            <w:pPr>
              <w:spacing w:after="0" w:line="194" w:lineRule="exact"/>
              <w:rPr>
                <w:sz w:val="20"/>
                <w:szCs w:val="20"/>
                <w:color w:val="auto"/>
              </w:rPr>
            </w:pPr>
            <w:r>
              <w:rPr>
                <w:rFonts w:ascii="Arial" w:cs="Arial" w:eastAsia="Arial" w:hAnsi="Arial"/>
                <w:sz w:val="18"/>
                <w:szCs w:val="18"/>
                <w:color w:val="auto"/>
              </w:rPr>
              <w:t>Keith Westby</w:t>
            </w:r>
          </w:p>
        </w:tc>
        <w:tc>
          <w:tcPr>
            <w:tcW w:w="1560" w:type="dxa"/>
            <w:vAlign w:val="bottom"/>
            <w:gridSpan w:val="3"/>
          </w:tcPr>
          <w:p>
            <w:pPr>
              <w:jc w:val="right"/>
              <w:ind w:right="220"/>
              <w:spacing w:after="0" w:line="194" w:lineRule="exact"/>
              <w:rPr>
                <w:sz w:val="20"/>
                <w:szCs w:val="20"/>
                <w:color w:val="auto"/>
              </w:rPr>
            </w:pPr>
            <w:r>
              <w:rPr>
                <w:rFonts w:ascii="Arial" w:cs="Arial" w:eastAsia="Arial" w:hAnsi="Arial"/>
                <w:sz w:val="18"/>
                <w:szCs w:val="18"/>
                <w:color w:val="auto"/>
              </w:rPr>
              <w:t>98,750</w:t>
            </w:r>
          </w:p>
        </w:tc>
        <w:tc>
          <w:tcPr>
            <w:tcW w:w="1360" w:type="dxa"/>
            <w:vAlign w:val="bottom"/>
            <w:gridSpan w:val="2"/>
          </w:tcPr>
          <w:p>
            <w:pPr>
              <w:jc w:val="right"/>
              <w:ind w:right="240"/>
              <w:spacing w:after="0" w:line="194" w:lineRule="exact"/>
              <w:rPr>
                <w:sz w:val="20"/>
                <w:szCs w:val="20"/>
                <w:color w:val="auto"/>
              </w:rPr>
            </w:pPr>
            <w:r>
              <w:rPr>
                <w:rFonts w:ascii="Arial" w:cs="Arial" w:eastAsia="Arial" w:hAnsi="Arial"/>
                <w:sz w:val="18"/>
                <w:szCs w:val="18"/>
                <w:color w:val="auto"/>
              </w:rPr>
              <w:t>3,950,000</w:t>
            </w:r>
          </w:p>
        </w:tc>
        <w:tc>
          <w:tcPr>
            <w:tcW w:w="1120" w:type="dxa"/>
            <w:vAlign w:val="bottom"/>
            <w:gridSpan w:val="3"/>
          </w:tcPr>
          <w:p>
            <w:pPr>
              <w:jc w:val="right"/>
              <w:spacing w:after="0" w:line="194" w:lineRule="exact"/>
              <w:rPr>
                <w:sz w:val="20"/>
                <w:szCs w:val="20"/>
                <w:color w:val="auto"/>
              </w:rPr>
            </w:pPr>
            <w:r>
              <w:rPr>
                <w:rFonts w:ascii="Arial" w:cs="Arial" w:eastAsia="Arial" w:hAnsi="Arial"/>
                <w:sz w:val="18"/>
                <w:szCs w:val="18"/>
                <w:b w:val="1"/>
                <w:bCs w:val="1"/>
                <w:color w:val="auto"/>
              </w:rPr>
              <w:t>170,728</w:t>
            </w:r>
          </w:p>
        </w:tc>
        <w:tc>
          <w:tcPr>
            <w:tcW w:w="1340" w:type="dxa"/>
            <w:vAlign w:val="bottom"/>
            <w:gridSpan w:val="6"/>
          </w:tcPr>
          <w:p>
            <w:pPr>
              <w:jc w:val="right"/>
              <w:spacing w:after="0" w:line="194" w:lineRule="exact"/>
              <w:rPr>
                <w:sz w:val="20"/>
                <w:szCs w:val="20"/>
                <w:color w:val="auto"/>
              </w:rPr>
            </w:pPr>
            <w:r>
              <w:rPr>
                <w:rFonts w:ascii="Arial" w:cs="Arial" w:eastAsia="Arial" w:hAnsi="Arial"/>
                <w:sz w:val="18"/>
                <w:szCs w:val="18"/>
                <w:b w:val="1"/>
                <w:bCs w:val="1"/>
                <w:color w:val="auto"/>
              </w:rPr>
              <w:t>4,111,972</w:t>
            </w:r>
          </w:p>
        </w:tc>
        <w:tc>
          <w:tcPr>
            <w:tcW w:w="1360" w:type="dxa"/>
            <w:vAlign w:val="bottom"/>
            <w:gridSpan w:val="6"/>
          </w:tcPr>
          <w:p>
            <w:pPr>
              <w:jc w:val="right"/>
              <w:ind w:right="20"/>
              <w:spacing w:after="0" w:line="194" w:lineRule="exact"/>
              <w:rPr>
                <w:sz w:val="20"/>
                <w:szCs w:val="20"/>
                <w:color w:val="auto"/>
              </w:rPr>
            </w:pPr>
            <w:r>
              <w:rPr>
                <w:rFonts w:ascii="Arial" w:cs="Arial" w:eastAsia="Arial" w:hAnsi="Arial"/>
                <w:sz w:val="18"/>
                <w:szCs w:val="18"/>
                <w:b w:val="1"/>
                <w:bCs w:val="1"/>
                <w:color w:val="auto"/>
              </w:rPr>
              <w:t>8,061,972</w:t>
            </w:r>
          </w:p>
        </w:tc>
        <w:tc>
          <w:tcPr>
            <w:tcW w:w="100" w:type="dxa"/>
            <w:vAlign w:val="bottom"/>
          </w:tcPr>
          <w:p>
            <w:pPr>
              <w:spacing w:after="0"/>
              <w:rPr>
                <w:sz w:val="16"/>
                <w:szCs w:val="16"/>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178"/>
        </w:trPr>
        <w:tc>
          <w:tcPr>
            <w:tcW w:w="44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77" w:lineRule="exact"/>
              <w:rPr>
                <w:sz w:val="20"/>
                <w:szCs w:val="20"/>
                <w:color w:val="auto"/>
              </w:rPr>
            </w:pPr>
            <w:r>
              <w:rPr>
                <w:rFonts w:ascii="Arial" w:cs="Arial" w:eastAsia="Arial" w:hAnsi="Arial"/>
                <w:sz w:val="18"/>
                <w:szCs w:val="18"/>
                <w:color w:val="auto"/>
                <w:strike w:val="1"/>
                <w:w w:val="84"/>
              </w:rPr>
              <w:t>4,942,431</w:t>
            </w: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7" w:lineRule="exact"/>
              <w:rPr>
                <w:sz w:val="20"/>
                <w:szCs w:val="20"/>
                <w:color w:val="auto"/>
              </w:rPr>
            </w:pPr>
            <w:r>
              <w:rPr>
                <w:rFonts w:ascii="Arial" w:cs="Arial" w:eastAsia="Arial" w:hAnsi="Arial"/>
                <w:sz w:val="18"/>
                <w:szCs w:val="18"/>
                <w:color w:val="auto"/>
                <w:strike w:val="1"/>
                <w:w w:val="87"/>
              </w:rPr>
              <w:t>9,442,431</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4"/>
        </w:trPr>
        <w:tc>
          <w:tcPr>
            <w:tcW w:w="4400" w:type="dxa"/>
            <w:vAlign w:val="bottom"/>
            <w:tcBorders>
              <w:bottom w:val="single" w:sz="8" w:color="CCEEFF"/>
            </w:tcBorders>
            <w:shd w:val="clear" w:color="auto" w:fill="CCEEFF"/>
          </w:tcPr>
          <w:p>
            <w:pPr>
              <w:spacing w:after="0" w:line="194" w:lineRule="exact"/>
              <w:rPr>
                <w:sz w:val="20"/>
                <w:szCs w:val="20"/>
                <w:color w:val="auto"/>
              </w:rPr>
            </w:pPr>
            <w:r>
              <w:rPr>
                <w:rFonts w:ascii="Arial" w:cs="Arial" w:eastAsia="Arial" w:hAnsi="Arial"/>
                <w:sz w:val="18"/>
                <w:szCs w:val="18"/>
                <w:color w:val="auto"/>
              </w:rPr>
              <w:t>Christopher P. Simms</w:t>
            </w:r>
          </w:p>
        </w:tc>
        <w:tc>
          <w:tcPr>
            <w:tcW w:w="1560" w:type="dxa"/>
            <w:vAlign w:val="bottom"/>
            <w:tcBorders>
              <w:bottom w:val="single" w:sz="8" w:color="CCEEFF"/>
            </w:tcBorders>
            <w:gridSpan w:val="3"/>
            <w:shd w:val="clear" w:color="auto" w:fill="CCEEFF"/>
          </w:tcPr>
          <w:p>
            <w:pPr>
              <w:jc w:val="right"/>
              <w:ind w:right="220"/>
              <w:spacing w:after="0" w:line="194" w:lineRule="exact"/>
              <w:rPr>
                <w:sz w:val="20"/>
                <w:szCs w:val="20"/>
                <w:color w:val="auto"/>
              </w:rPr>
            </w:pPr>
            <w:r>
              <w:rPr>
                <w:rFonts w:ascii="Arial" w:cs="Arial" w:eastAsia="Arial" w:hAnsi="Arial"/>
                <w:sz w:val="18"/>
                <w:szCs w:val="18"/>
                <w:color w:val="auto"/>
              </w:rPr>
              <w:t>112,500</w:t>
            </w:r>
          </w:p>
        </w:tc>
        <w:tc>
          <w:tcPr>
            <w:tcW w:w="1360" w:type="dxa"/>
            <w:vAlign w:val="bottom"/>
            <w:tcBorders>
              <w:bottom w:val="single" w:sz="8" w:color="CCEEFF"/>
            </w:tcBorders>
            <w:gridSpan w:val="2"/>
            <w:shd w:val="clear" w:color="auto" w:fill="CCEEFF"/>
          </w:tcPr>
          <w:p>
            <w:pPr>
              <w:jc w:val="right"/>
              <w:ind w:right="240"/>
              <w:spacing w:after="0" w:line="194" w:lineRule="exact"/>
              <w:rPr>
                <w:sz w:val="20"/>
                <w:szCs w:val="20"/>
                <w:color w:val="auto"/>
              </w:rPr>
            </w:pPr>
            <w:r>
              <w:rPr>
                <w:rFonts w:ascii="Arial" w:cs="Arial" w:eastAsia="Arial" w:hAnsi="Arial"/>
                <w:sz w:val="18"/>
                <w:szCs w:val="18"/>
                <w:color w:val="auto"/>
              </w:rPr>
              <w:t>4,500,000</w:t>
            </w:r>
          </w:p>
        </w:tc>
        <w:tc>
          <w:tcPr>
            <w:tcW w:w="1120" w:type="dxa"/>
            <w:vAlign w:val="bottom"/>
            <w:tcBorders>
              <w:bottom w:val="single" w:sz="8" w:color="CCEEFF"/>
            </w:tcBorders>
            <w:gridSpan w:val="3"/>
            <w:shd w:val="clear" w:color="auto" w:fill="CCEEFF"/>
          </w:tcPr>
          <w:p>
            <w:pPr>
              <w:jc w:val="right"/>
              <w:spacing w:after="0" w:line="194" w:lineRule="exact"/>
              <w:rPr>
                <w:sz w:val="20"/>
                <w:szCs w:val="20"/>
                <w:color w:val="auto"/>
              </w:rPr>
            </w:pPr>
            <w:r>
              <w:rPr>
                <w:rFonts w:ascii="Arial" w:cs="Arial" w:eastAsia="Arial" w:hAnsi="Arial"/>
                <w:sz w:val="18"/>
                <w:szCs w:val="18"/>
                <w:color w:val="auto"/>
              </w:rPr>
              <w:t>197,292</w:t>
            </w:r>
          </w:p>
        </w:tc>
        <w:tc>
          <w:tcPr>
            <w:tcW w:w="620" w:type="dxa"/>
            <w:vAlign w:val="bottom"/>
            <w:tcBorders>
              <w:bottom w:val="single" w:sz="8" w:color="CCEEFF"/>
            </w:tcBorders>
            <w:gridSpan w:val="4"/>
            <w:shd w:val="clear" w:color="auto" w:fill="CCEEFF"/>
          </w:tcPr>
          <w:p>
            <w:pPr>
              <w:spacing w:after="0"/>
              <w:rPr>
                <w:sz w:val="20"/>
                <w:szCs w:val="20"/>
                <w:color w:val="auto"/>
              </w:rPr>
            </w:pPr>
          </w:p>
        </w:tc>
        <w:tc>
          <w:tcPr>
            <w:tcW w:w="720" w:type="dxa"/>
            <w:vAlign w:val="bottom"/>
            <w:tcBorders>
              <w:bottom w:val="single" w:sz="8" w:color="auto"/>
            </w:tcBorders>
            <w:gridSpan w:val="2"/>
            <w:shd w:val="clear" w:color="auto" w:fill="CCEEFF"/>
          </w:tcPr>
          <w:p>
            <w:pPr>
              <w:jc w:val="right"/>
              <w:spacing w:after="0" w:line="194" w:lineRule="exact"/>
              <w:rPr>
                <w:sz w:val="20"/>
                <w:szCs w:val="20"/>
                <w:color w:val="auto"/>
              </w:rPr>
            </w:pPr>
            <w:r>
              <w:rPr>
                <w:rFonts w:ascii="Arial" w:cs="Arial" w:eastAsia="Arial" w:hAnsi="Arial"/>
                <w:sz w:val="18"/>
                <w:szCs w:val="18"/>
                <w:b w:val="1"/>
                <w:bCs w:val="1"/>
                <w:color w:val="auto"/>
                <w:w w:val="87"/>
              </w:rPr>
              <w:t>4,942,440</w:t>
            </w:r>
          </w:p>
        </w:tc>
        <w:tc>
          <w:tcPr>
            <w:tcW w:w="620" w:type="dxa"/>
            <w:vAlign w:val="bottom"/>
            <w:tcBorders>
              <w:bottom w:val="single" w:sz="8" w:color="CCEEFF"/>
            </w:tcBorders>
            <w:gridSpan w:val="4"/>
            <w:shd w:val="clear" w:color="auto" w:fill="CCEEFF"/>
          </w:tcPr>
          <w:p>
            <w:pPr>
              <w:spacing w:after="0"/>
              <w:rPr>
                <w:sz w:val="20"/>
                <w:szCs w:val="20"/>
                <w:color w:val="auto"/>
              </w:rPr>
            </w:pPr>
          </w:p>
        </w:tc>
        <w:tc>
          <w:tcPr>
            <w:tcW w:w="740" w:type="dxa"/>
            <w:vAlign w:val="bottom"/>
            <w:tcBorders>
              <w:bottom w:val="single" w:sz="8" w:color="auto"/>
            </w:tcBorders>
            <w:gridSpan w:val="2"/>
            <w:shd w:val="clear" w:color="auto" w:fill="CCEEFF"/>
          </w:tcPr>
          <w:p>
            <w:pPr>
              <w:jc w:val="right"/>
              <w:ind w:right="20"/>
              <w:spacing w:after="0" w:line="194" w:lineRule="exact"/>
              <w:rPr>
                <w:sz w:val="20"/>
                <w:szCs w:val="20"/>
                <w:color w:val="auto"/>
              </w:rPr>
            </w:pPr>
            <w:r>
              <w:rPr>
                <w:rFonts w:ascii="Arial" w:cs="Arial" w:eastAsia="Arial" w:hAnsi="Arial"/>
                <w:sz w:val="18"/>
                <w:szCs w:val="18"/>
                <w:b w:val="1"/>
                <w:bCs w:val="1"/>
                <w:color w:val="auto"/>
                <w:w w:val="87"/>
              </w:rPr>
              <w:t>9,442,440</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 Following the Merger</w:t>
      </w:r>
    </w:p>
    <w:p>
      <w:pPr>
        <w:spacing w:after="0" w:line="225"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i w:val="1"/>
          <w:iCs w:val="1"/>
          <w:color w:val="auto"/>
        </w:rPr>
        <w:t>The disclosure under the section entitled “The Merger — Interests of IVERIC’s Directors and Executive Officers in the Merger — Executive Officers Following the Merger” is hereby amended and supplemented by adding the following bolded and double underlined language to the first full paragraph on page 73 of the Definitive Proxy Statement:</w:t>
      </w:r>
    </w:p>
    <w:p>
      <w:pPr>
        <w:spacing w:after="0" w:line="184"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 xml:space="preserve">As of the date of this proxy statement, none of our executive officers have entered into any new agreement or arrangement with IVERIC, Parent, Guarantor or any of their affiliates regarding employment with, or the right to purchase or participate in the equity of, the Surviving Corporation or one or more of its affiliates. </w:t>
      </w:r>
      <w:r>
        <w:rPr>
          <w:rFonts w:ascii="Arial" w:cs="Arial" w:eastAsia="Arial" w:hAnsi="Arial"/>
          <w:sz w:val="17"/>
          <w:szCs w:val="17"/>
          <w:b w:val="1"/>
          <w:bCs w:val="1"/>
          <w:u w:val="single" w:color="auto"/>
          <w:color w:val="auto"/>
        </w:rPr>
        <w:t>In addition, as of the date of the Definitive Proxy Statement, no discussions or negotiations have occurred between our executive officers,</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on the one hand, and representatives of Parent, Guarantor or any of their affiliates on the other hand, regarding the terms of future employment following completion of the transactions contemplated by the Merger Agreement.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connection with the proposed transaction between IVERIC and Astellas, IVERIC has filed with the SEC and sent to our stockholders a Definitive Proxy Statement. The Definitive Proxy Statement filed on June 5, 2023 was first mailed on or about June 5, 2023. IVERIC may also file other documents with the SEC regarding the proposed transaction. This document is not a substitute for the Definitive Proxy Statement or any other document which IVERIC may file with the SEC. INVESTORS AND SECURITY HOLDERS ARE URGED TO READ THE DEFINITIVE PROXY STATEMENT AND ANY OTHER RELEVANT DOCUMENTS THAT ARE FILED OR WILL BE FILED WITH THE SEC, AS WELL AS ANY AMENDMENTS OR SUPPLEMENTS TO THESE DOCUMENTS, CAREFULLY AND IN THEIR ENTIRETY BECAUSE THEY CONTAIN OR WILL CONTAIN IMPORTANT INFORMATION ABOUT THE PROPOSED TRANSACTION AND RELATED MATTERS. Investors and security holders may obtain free copies of the Definitive Proxy Statement and other documents that are filed or will be filed with the SEC by IVERIC through the website maintained by the SEC at www.sec.gov. If you would like to request documents from IVERIC, please do so as soon as possible, to receive them before the Special Meeting. Please note that all of our documents that we file with the SEC are also promptly available through the Investor Relations section of our website, www.investors.ivericbio.com. The information included on our website is not incorporated by reference into these Definitive Additional Materials.</w:t>
      </w:r>
    </w:p>
    <w:p>
      <w:pPr>
        <w:spacing w:after="0" w:line="17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You may obtain any of the documents we file with the SEC, without charge, by requesting them in writing or by telephone from us at the following address: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IVERIC bio,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 Sylvan Way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Parsippany, New Jersey 07054</w:t>
      </w:r>
    </w:p>
    <w:p>
      <w:pPr>
        <w:spacing w:after="0" w:line="9" w:lineRule="exact"/>
        <w:rPr>
          <w:sz w:val="20"/>
          <w:szCs w:val="20"/>
          <w:color w:val="auto"/>
        </w:rPr>
      </w:pPr>
    </w:p>
    <w:p>
      <w:pPr>
        <w:ind w:left="5500" w:hanging="438"/>
        <w:spacing w:after="0"/>
        <w:tabs>
          <w:tab w:leader="none" w:pos="5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474-6755</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All statements in these Definitive Additional Materials and any document referred to in these Definitive Additional Materials, other than statements of historical fact, are statements that could be deemed “forward-looking statements.” In some cases, forward-looking statements may be identified by terminology such as “believe,” “may,” “will,” “should,” “predict,” “goal,” “strategy,” “potentially,” “estimate,” “continue,” “anticipate,” “intend,” “could,” “would,” “project,” “plan,” “expect,” “seek” and similar expressions and variations thereof. IVERIC intends these forward-looking statements to be covered by the safe harbor provisions for forward-looking statements in the U.S. Private Securities Litigation Reform Act of 1995.</w:t>
      </w:r>
    </w:p>
    <w:p>
      <w:pPr>
        <w:spacing w:after="0" w:line="1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These Definitive Additional Materials and any document referred to in these Definitive Additional Materials contain “forward-looking statements” relating to, among other things, the proposed acquisition of IVERIC, by way of the Merger, and the objectives of such proposed acquisition, Astellas’ and IVERIC’s beliefs and expectations regarding the potential benefits sought to be achieved by Astellas’ proposed acquisition of IVERIC, the potential effects of the proposed acquisition on both Astellas and IVERIC, the expected benefits and success of IVERIC’s product candidates, the potential for and anticipated timing for approval of ACP, the anticipated financing of the proposed acquisition, and the anticipated timing of completion of the proposed acquisition, each of which involves substantial risks and uncertainties that could cause actual results to differ materially from those expressed or implied by such statements.</w:t>
      </w:r>
    </w:p>
    <w:p>
      <w:pPr>
        <w:spacing w:after="0" w:line="19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Risks and uncertainties include, among other things, risks related to the ability of IVERIC and Astellas to complete the transactions contemplated by the Merger Agreement; the satisfaction or waiver of the conditions to closing the proposed acquisition set forth in the Merger Agreement (including the failure to obtain necessary regulatory approvals and failure to obtain the requisite vote of our stockholders) in the anticipated timeframe or at all, including the possibility that the proposed acquisition does not close; the timing and nature of regulatory filings for IVERIC’s product candidates, and the possibility of a termination of the Merger Agreement; the possibility that competing offers to acquire IVERIC may be made; risks related to the ability to realize the anticipated benefits of the proposed acquisition, including the possibility that the expected benefits from the acquisition will not be realized or will not be realized within the expected time period; the risk that IVERIC’s business and products will not be integrated with those of Astellas successfully; the effects of disruption from the transactions contemplated by the Merger Agreement on IVERIC’s business and the fact that the announcement and pendency of the transactions may make it more difficult to establish or maintain relationships with employees, suppliers and other business partners; negative effects of this announcement or the consummation of the proposed acquisition on the market price of Astellas’ or IVERIC’s common stock and/or operating results; significant transaction costs; unknown liabilities; the risk of litigation and/or regulatory actions related to the proposed acquisition or IVERIC’s business; risks related to the financing of the acquisition; other business effects and uncertainties, including the effects of industry, market, business, economic, political or regulatory conditions; future exchange and interest rates; changes in tax and other laws, regulations, rates and policies; future business combinations or disposals; the uncertainties inherent in research and development, including the ability to meet anticipated clinical endpoints, commencement and/or completion dates for clinical trials, regulatory submission dates, regulatory approval dates and/or launch dates, as well as the possibility of unfavorable new clinical data and further analyses of existing clinical data; risks associated with interim data; the risk that clinical trial data is subject to differing interpretations and assessments by regulatory authorities; whether regulatory authorities will be satisfied with the design of and results from the clinical studies; whether and when drug applications may be filed in any jurisdictions for IVERIC’s pipeline products; whether and when any such applications may be approved by regulatory authorities, which will depend on myriad factors, including making a determination as to whether the product’s benefits outweigh its known risks and determination of the product’s efficacy and, if approved, whether any such products will be commercially successful; decisions by regulatory authorities impacting labeling, manufacturing processes, safety or other matters that could affect the availability or commercial potential of such products; expectations regarding personnel and human capital matters; and competitive developments.</w:t>
      </w:r>
    </w:p>
    <w:p>
      <w:pPr>
        <w:spacing w:after="0" w:line="178" w:lineRule="exact"/>
        <w:rPr>
          <w:sz w:val="20"/>
          <w:szCs w:val="20"/>
          <w:color w:val="auto"/>
        </w:rPr>
      </w:pPr>
    </w:p>
    <w:p>
      <w:pPr>
        <w:ind w:right="240"/>
        <w:spacing w:after="0" w:line="287" w:lineRule="auto"/>
        <w:rPr>
          <w:sz w:val="20"/>
          <w:szCs w:val="20"/>
          <w:color w:val="auto"/>
        </w:rPr>
      </w:pPr>
      <w:r>
        <w:rPr>
          <w:rFonts w:ascii="Arial" w:cs="Arial" w:eastAsia="Arial" w:hAnsi="Arial"/>
          <w:sz w:val="16"/>
          <w:szCs w:val="16"/>
          <w:color w:val="auto"/>
        </w:rPr>
        <w:t>Moreover, Astellas and IVERIC operate in very competitive and rapidly changing environments, and new risks emerge from time to time. Astellas and IVERIC have based these forward-looking statements on their current expectations and projections about future events and trends that they believe may affect the financial condition, results of operations, business strategy, short-term and long-term business operations and objectives and financial needs of Astellas and IVERIC, but they cannot guarantee future events, results, actions, levels of activity, performance or achievements, business and market conditions, the timing and results of biotechnology development and potential regulatory approval. The foregoing factors are not exhaustive. You should also carefully consider other risks and uncertainties that may affect the business of IVERIC, including those described in the “Forward-Looking Statements,” “Summary of Principal Risk Factors,” and “Risk Factors” sections of IVERIC’s Annual Reports on Form 10-K, Quarterly Reports on Form 10-Q and other documents filed from time to time with the SEC, all of which are available on the SEC’s website at www.sec.gov.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Astellas and IVERIC assume no obligation to, and do not intend to, update or revise these forward-looking statements, whether as a result of new information, future events, or otherwise, unless required by applicable law.</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lowerRoman"/>
      <w:start w:val="2"/>
    </w:lvl>
  </w:abstractNum>
  <w:abstractNum w:abstractNumId="7">
    <w:nsid w:val="4DB127F8"/>
    <w:multiLevelType w:val="hybridMultilevel"/>
    <w:lvl w:ilvl="0">
      <w:lvlJc w:val="left"/>
      <w:lvlText w:val="(%1)"/>
      <w:numFmt w:val="lowerRoman"/>
      <w:start w:val="2"/>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60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2023-06-20T08:10:51Z</dcterms:created>
  <dcterms:modified xsi:type="dcterms:W3CDTF">2023-06-20T08:10:51Z</dcterms:modified>
</cp:coreProperties>
</file>